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dabbb" w14:textId="dadab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физической культуры и спорта, оказываемых в городе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 апреля 2013 года N 2/305. Зарегистрировано Департаментом юстиции города Алматы 8 мая 2013 года за N 979. Утратило силу постановлением акимата города Алматы от 7 апреля 2014 года N 2/221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07.04.2014 N 2/221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5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 декабря 1999 года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 и спорте»</w:t>
      </w:r>
      <w:r>
        <w:rPr>
          <w:rFonts w:ascii="Times New Roman"/>
          <w:b w:val="false"/>
          <w:i w:val="false"/>
          <w:color w:val="000000"/>
          <w:sz w:val="28"/>
        </w:rPr>
        <w:t>, от 27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>«Об административных процедурах»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июля 2012 года № 981 «Об утверждении стандартов государственных услуг, оказываемых Агентством Республики Казахстан по делам спорта и физической культуры, местными исполнительными органами в сфере физической культуры и спорта»,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«Присвоение спортивных разрядов и категорий: кандидат в мастера спорта, первый спортивный разряд, тренер высшего и среднего уровня квалификации первой категории, инструктор – 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«Присвоение категорий спортивным сооружениям».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Алматы З. Аманжолову.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       А. Есимов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Вносит</w:t>
      </w:r>
      <w:r>
        <w:rPr>
          <w:rFonts w:ascii="Times New Roman"/>
          <w:b w:val="false"/>
          <w:i w:val="false"/>
          <w:color w:val="000000"/>
          <w:sz w:val="28"/>
        </w:rPr>
        <w:t xml:space="preserve">:                                                            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Управления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культуры и спорта города Алматы       Х. Хайдаров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                         З. Аманжолова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юридического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аппарата акима города Алматы          А. Касымова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отдела контроля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соблюдением качества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услуг                 М. Суюндуков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апреля 2013 года № 2/305</w:t>
      </w:r>
    </w:p>
    <w:bookmarkEnd w:id="7"/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«Присвоение спортивных разрядов и категорий:</w:t>
      </w:r>
      <w:r>
        <w:br/>
      </w:r>
      <w:r>
        <w:rPr>
          <w:rFonts w:ascii="Times New Roman"/>
          <w:b/>
          <w:i w:val="false"/>
          <w:color w:val="000000"/>
        </w:rPr>
        <w:t>
кандидат в мастера спорта, первый спортивный</w:t>
      </w:r>
      <w:r>
        <w:br/>
      </w:r>
      <w:r>
        <w:rPr>
          <w:rFonts w:ascii="Times New Roman"/>
          <w:b/>
          <w:i w:val="false"/>
          <w:color w:val="000000"/>
        </w:rPr>
        <w:t>
разряд, тренер высшего и среднего уровня</w:t>
      </w:r>
      <w:r>
        <w:br/>
      </w:r>
      <w:r>
        <w:rPr>
          <w:rFonts w:ascii="Times New Roman"/>
          <w:b/>
          <w:i w:val="false"/>
          <w:color w:val="000000"/>
        </w:rPr>
        <w:t>
квалификации первой категории, инструктор-спортсмен</w:t>
      </w:r>
      <w:r>
        <w:br/>
      </w:r>
      <w:r>
        <w:rPr>
          <w:rFonts w:ascii="Times New Roman"/>
          <w:b/>
          <w:i w:val="false"/>
          <w:color w:val="000000"/>
        </w:rPr>
        <w:t>
высшего уровня квалификации первой категории,</w:t>
      </w:r>
      <w:r>
        <w:br/>
      </w:r>
      <w:r>
        <w:rPr>
          <w:rFonts w:ascii="Times New Roman"/>
          <w:b/>
          <w:i w:val="false"/>
          <w:color w:val="000000"/>
        </w:rPr>
        <w:t>
методист высшего и среднего уровня квалификации</w:t>
      </w:r>
      <w:r>
        <w:br/>
      </w:r>
      <w:r>
        <w:rPr>
          <w:rFonts w:ascii="Times New Roman"/>
          <w:b/>
          <w:i w:val="false"/>
          <w:color w:val="000000"/>
        </w:rPr>
        <w:t>
первой категории, судья по спорту первой категории»</w:t>
      </w:r>
    </w:p>
    <w:bookmarkEnd w:id="8"/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коммунальным государственным учреждением «Управление физической культуры и спорта города Алматы» (далее - Управление) через центры обслуживания населения (далее - ЦОН), адреса которых указаны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пунктов 2, 3, 4 и 5 </w:t>
      </w:r>
      <w:r>
        <w:rPr>
          <w:rFonts w:ascii="Times New Roman"/>
          <w:b w:val="false"/>
          <w:i w:val="false"/>
          <w:color w:val="000000"/>
          <w:sz w:val="28"/>
        </w:rPr>
        <w:t>статьи 22-1</w:t>
      </w:r>
      <w:r>
        <w:rPr>
          <w:rFonts w:ascii="Times New Roman"/>
          <w:b w:val="false"/>
          <w:i w:val="false"/>
          <w:color w:val="000000"/>
          <w:sz w:val="28"/>
        </w:rPr>
        <w:t>, подпункта 8)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23-1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1999 года «О физической культуре и спорте», </w:t>
      </w:r>
      <w:r>
        <w:rPr>
          <w:rFonts w:ascii="Times New Roman"/>
          <w:b w:val="false"/>
          <w:i w:val="false"/>
          <w:color w:val="000000"/>
          <w:sz w:val="28"/>
        </w:rPr>
        <w:t>статьи 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 и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июля 2012 года № 981 «Об утверждении стандартов государственных услуг, оказываемых Агентством Республики Казахстан по делам спорта и физической культуры, местными исполнительными органами в сфере физической  культуры и спорта»,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туризма и спорта Республики Казахстан от 05 марта 2011 года № 02-02-18/29 «Об утверждении Правил проведения и условий аттестации гражданских служащих в сфере физической культуры и спорта», а также Правил присвоения квалификационных категорий тренерам, методистам, инструкторам» 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туризма и спорта Республики Казахстан от 22 августа 2008 года №01-08/142 «Об утверждении Правил присвоения спортивных званий, разрядов и судейских категорий по спорту».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оказания государственной услуги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Управления: www.almaty-sport.kz;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Республиканского государственного предприятия «Центр обслуживания населения» (далее - РГП «Центр»):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официальных источниках информации и на стендах, расположенных в помещениях ЦОНов,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государственной услуги являются выдача выписки из приказа о присвоении спортивного разряда или категории сроком на 5 лет на бумажном носителе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тренерам, методистам, инструкторам, спортсменам и судьям по спорту с целью официального признания спортивного разряда и квалификации (далее - получатели).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в ЦОН не превышают 30 календарных дней (день приема документов не входит в срок оказания государственной услуги, при этом Управление представляет результат оказания государственной услуги за день до окончания срока оказания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получателя,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«электронной» очереди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здании ЦОНов по месту проживания получателя. В зале располагаются справочное бюро, кресла для ожидания, информационные стенды с образцами заполненных бланков. В здании имеются условия для людей с ограниченными физическими возможностями (кресла для ожидания, стенды).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для представления спортсмена к спортивному званию, разряду направляются в Управление и ЦОНы в течение шести месяцев с момента выполнения соответствующего норматива или требования.</w:t>
      </w:r>
    </w:p>
    <w:bookmarkEnd w:id="10"/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о присвоении (и/или подтверждении) спортивного звания «Кандидат в мастера спорта», спортивного разряда «Спортсмен 1 разряда» получатель представляет в ЦОН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установленной формы стандарта государственной услуги «Присвоение спортивных разрядов и категорий: кандидат в мастера спорта,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категории»,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июля 2012 года № 981 (далее -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выписку из протокола соревнования с указанием наименования соревнования, срока и места его проведения, подписанную главным судьей и главным секретарем соревнования;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протоколов соревнований, заверенные печатью республиканской федерации по данному виду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установленной формы Стандарта о результатах по боксу, в видах борьбы и других единоборствах, подписанную главным судьей, главным секретарем соревнований.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(и/или подтверждении) категорий «Тренер высшего уровня квалификации первой категории», «Тренер среднего уровня квалификации первой категории», «Тренер высшего уровня квалификации без категории» и «Тренер среднего уровня квалификации без категории» получатель представляет в ЦОН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установленной формы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 об образовании,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трудовой книжки или трудового договора с отметкой работодателя о дате и основании его прекращения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архивную справку,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удостоверения о присвоении предыдущей квалификационной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установленной формы Стандарта о подготовке спортсменов тренером-преподавателем (за исключением присвоения категории «Тренер высшего и среднего уровней квалификации без категории»);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копии протоколов соревнований, заверенные печатью республиканской федерации по данному виду спорта (за исключением присвоения квалификационной категории «Тренер высшего и среднего уровней квалификации без категории»).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получателя -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категорий «Тренер высшего уровня квалификации первой категории», «Тренер среднего уровня квалификации первой категории», «Тренер высшего уровня квалификации без категории» и «Тренер среднего уровня квалификации без категории» осуществляется в соответствии с квалификационными требованиями Стандарта для должностей работников организаций физической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Управление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ЦОНа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(и/или подтверждении) категорий «Методист высшего уровня квалификации первой категории» и «Методист среднего уровня квалификации первой категории» получатель представляет в ЦОН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установленной формы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 об образовании, о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трудовой книжки или трудового договора с отметкой работодателя о дате и основании его прекращения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архивную справку,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удостоверения о присвоении предыдущей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получателя -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категорий «Методист высшего уровня квалификации первой категории» и «Методист среднего уровня квалификации первой категории» осуществляется в соответствии с квалификационными требованиями Стандарта для должностей работников организаций физической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Управление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ЦОНа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(и/или подтверждении) категории «Инструктор-спортсмен высшего уровня квалификации первой категории» получатель представляет в ЦОН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установленной формы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 об образовании, о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трудовой книжки или трудового договора с отметкой работодателя о дате и основании его прекращения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архивную справку,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заверенное печатью ходатайство республиканской федерации по виду спорта о присвоении категории с указанием достижений спортсмена за последние 2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 удостоверения о присвоении предыдущей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получателя -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категории «Инструктор-спортсмен высшего уровня квалификации первой категории» осуществляется в соответствии с квалификационными требованиями Стандарта для должностей работников организаций физической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Управление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 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судейской категории «Судья по спорту первой категории» получатель представляет в ЦОН документ, подтверждающий прохождение курса судейской практики в соответствии с требованиями спортивной классификации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ЦОНа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через ЦОН, заполнение бланков заявлений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ЦОНе прием документов осуществляется работниками ЦОНа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сдаче всех необходимых документов для получения государственной услуги 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ЦОНа,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ЦОНе выдача готовых документов получателю осуществляется работником ЦОНа посредством «окон»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не обратился за результатом услуги в указанный срок, ЦОН обеспечивает его хранение в течение одного месяца, после чего передает в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Управление отказывает в предоставлении данной государственной услуги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полного перечня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обнаружение недостоверных или искаженных данных в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документов на присвоение спортивных званий спортсмену в сроки, превышающие шесть месяцев с момента выполнения соответствующего норматива или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ЦОН отказывает в приеме документов, в случае непредставления получателем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документов, работником ЦОНа получателю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рассмотрении заявления выдается получателю в течение двух рабочих дней, в случае неполноты представления документов либо в сроки, установленные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Описание последовательности и взаимодействие административных действий (процедур) структурно-функциональные единицы (далее – СФЕ), приведено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"/>
    <w:bookmarkStart w:name="z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Управления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соблюдения конституционных прав и свобод человека и гражданина, Кодекса чести государственных служащих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противостояния проявлениям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строгого соблюдения установленных законодательством для государственных служащих запретов и ограничений;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равенства всех перед законом и судом;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приоритета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качества и недопустимости проявлений бюрократизма и волокиты при рассмотрении обращений граждан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взаимной ответственности и баланса интересов личности, общества 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учета общественного мнения и гласности при строгом соблюдении законодательства о государственных секретах и иной охраняемой законом тайне;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представления исчерпывающей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сохранности документов, в случае неявки получателя для их получения;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обеспечения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вежливости.</w:t>
      </w:r>
    </w:p>
    <w:bookmarkEnd w:id="14"/>
    <w:bookmarkStart w:name="z1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 работы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получателям измеряются показателями качества эффективности, утвержденными Стандартом.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настоящей государственной услуги «Присвоение спортивных разрядов и категорий: кандидат в мастера спорта,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категории», по которым оценивается работа Управления, ежегодно утверждаются приказом Управления.</w:t>
      </w:r>
    </w:p>
    <w:bookmarkEnd w:id="16"/>
    <w:bookmarkStart w:name="z1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Получение информации о порядке обжалования действий (бездействия) уполномоченных должностных лиц Управления и оказание содействия в подготовке обращений осуществляются по адресу, указанном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действий (бездействия) работника ЦОНа можно получить по адресам и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работником ЦОНа жалоба подается на имя руководителя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услуги, получатель может обратиться в вышестоящую инстанцию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устной или письменной форме, по почте или в электронном виде в случаях, предусмотренных действующим законодательством, либо нарочно через канцелярию Управления, акимата города Алматы и ЦОНов график и адреса которых указаны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Подтверждением принятия обращения в канцелярии Управления, акимата города Алматы и ЦОНа является его регистрация (штамп, входящий номер и дата регистрации проставляются на втором экземпляре жалобы или сопроводительном письме к жалобе).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в подтверждение о принятии его жалобы лицом, принявшим жалобу, выдается талон, в котором указываются номер, дата, фамилия лица, принявшего жалобу, с указанием контактных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Рассмотрение жалоб осуществляется в порядке и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получателю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В случаях несогласия с результатами оказанной государственной услуги, получатель имеет право обратиться в суд в установленном законодательством порядке.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 разрядов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категорий: кандидат в мастера спорта,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 спортивный разряд, тренер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среднего уровня квалификации первой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 – спортсмен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первой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методист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первой категории, судья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спорту первой категории»</w:t>
      </w:r>
    </w:p>
    <w:bookmarkEnd w:id="19"/>
    <w:bookmarkStart w:name="z2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 и график работы</w:t>
      </w:r>
      <w:r>
        <w:br/>
      </w:r>
      <w:r>
        <w:rPr>
          <w:rFonts w:ascii="Times New Roman"/>
          <w:b/>
          <w:i w:val="false"/>
          <w:color w:val="000000"/>
        </w:rPr>
        <w:t>
Управления физической культуры и спорта</w:t>
      </w:r>
      <w:r>
        <w:br/>
      </w:r>
      <w:r>
        <w:rPr>
          <w:rFonts w:ascii="Times New Roman"/>
          <w:b/>
          <w:i w:val="false"/>
          <w:color w:val="000000"/>
        </w:rPr>
        <w:t>
города Алматы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2891"/>
        <w:gridCol w:w="2972"/>
        <w:gridCol w:w="2713"/>
        <w:gridCol w:w="3252"/>
      </w:tblGrid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города Алматы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площадь Республики, 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267-24-96, 267-24-90, 267-24-95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 часов до 18.00  часов, перерыв с 13.00 часов до 14.00 часов, кроме выходных и праздничных дней</w:t>
            </w:r>
          </w:p>
        </w:tc>
      </w:tr>
    </w:tbl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 разрядов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категорий: кандидат в мастера спорта,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 спортивный разряд, тренер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среднего уровня квалификации первой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 – спортсмен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первой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методист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первой категории, судья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спорту первой категории»</w:t>
      </w:r>
    </w:p>
    <w:bookmarkEnd w:id="21"/>
    <w:bookmarkStart w:name="z2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отделов и филиала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предприятия «Центр обслуживания</w:t>
      </w:r>
      <w:r>
        <w:br/>
      </w:r>
      <w:r>
        <w:rPr>
          <w:rFonts w:ascii="Times New Roman"/>
          <w:b/>
          <w:i w:val="false"/>
          <w:color w:val="000000"/>
        </w:rPr>
        <w:t>
населения» по городу Алматы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3300"/>
        <w:gridCol w:w="3024"/>
        <w:gridCol w:w="2240"/>
        <w:gridCol w:w="3196"/>
      </w:tblGrid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бликанского 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Алматы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Джандосова, 51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303-68-13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часов до 20.00 часов без перерыва с понедельника по субботу включительно, за исключением выходных и праздничных дней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Ауэзовского района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Джандосова, 51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303-68-25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Алмалинского района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Богенбай батыра, 221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378-09-10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Алатауского района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Шанырак-2, улица Жанкожа батыра, 24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395-36-10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Бостандыкского района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Алмагуль, 9а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396-37-00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Жетысуского района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Толе би, 155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330-72-43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Медеуского района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Маркова, 44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239-65-52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Турксибского района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Рихарда Зорге, 9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234-09-35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 разрядов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категорий: кандидат в мастера спорта,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 спортивный разряд, тренер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среднего уровня квалификации первой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 – спортсмен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первой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методист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первой категории, судья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спорту первой категории»</w:t>
      </w:r>
    </w:p>
    <w:bookmarkEnd w:id="23"/>
    <w:bookmarkStart w:name="z2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 акимата города Алматы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8"/>
        <w:gridCol w:w="3085"/>
        <w:gridCol w:w="3086"/>
        <w:gridCol w:w="2571"/>
        <w:gridCol w:w="2830"/>
      </w:tblGrid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 ресурсы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Алматы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площадь Республики, 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271-66-47, ф. 271-66-47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www.almaty.kz</w:t>
            </w:r>
          </w:p>
        </w:tc>
      </w:tr>
    </w:tbl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 разрядов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категорий: кандидат в мастера спорта,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 спортивный разряд, тренер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среднего уровня квалификации первой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 – спортсмен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первой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методист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первой категории, судья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спорту первой категории»</w:t>
      </w:r>
    </w:p>
    <w:bookmarkEnd w:id="25"/>
    <w:bookmarkStart w:name="z2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СФЕ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4049"/>
        <w:gridCol w:w="4747"/>
        <w:gridCol w:w="3186"/>
      </w:tblGrid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 потока работ)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служба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 прием документов с присвоением штрих-кода. Регистрация в Системе и выдача расписки о приеме документов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согласно реестра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накопительный отдел ЦОНа.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курьерской службе, согласно реестра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всех поступивших документов в Управление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2372"/>
        <w:gridCol w:w="2937"/>
        <w:gridCol w:w="2231"/>
        <w:gridCol w:w="2231"/>
        <w:gridCol w:w="2091"/>
      </w:tblGrid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 потока работ)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канцелярии Управления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Руководство Управления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служба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назначение ответственного работника по оказанию услуги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с решением о присвоении спортивных разрядов и категорий или об отказе в присвоении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полученных документов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руководству Управления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Поручение (резолюция) руководства, документы направляются ответственному работнику Управления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получателю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календарных дней</w:t>
            </w:r>
          </w:p>
        </w:tc>
      </w:tr>
    </w:tbl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 разрядов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категорий: кандидат в мастера спорта,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 спортивный разряд, тренер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среднего уровня квалификации первой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 – спортсмен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первой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методист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первой категории, судья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спорту первой категории»</w:t>
      </w:r>
    </w:p>
    <w:bookmarkEnd w:id="28"/>
    <w:bookmarkStart w:name="z2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по присвоению квалификационных</w:t>
      </w:r>
      <w:r>
        <w:br/>
      </w:r>
      <w:r>
        <w:rPr>
          <w:rFonts w:ascii="Times New Roman"/>
          <w:b/>
          <w:i w:val="false"/>
          <w:color w:val="000000"/>
        </w:rPr>
        <w:t>
категорий и званий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88011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011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апреля 2013 года № 2/305</w:t>
      </w:r>
    </w:p>
    <w:bookmarkEnd w:id="30"/>
    <w:bookmarkStart w:name="z3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«Присвоение категорий спортивным</w:t>
      </w:r>
      <w:r>
        <w:br/>
      </w:r>
      <w:r>
        <w:rPr>
          <w:rFonts w:ascii="Times New Roman"/>
          <w:b/>
          <w:i w:val="false"/>
          <w:color w:val="000000"/>
        </w:rPr>
        <w:t>
сооружениям»</w:t>
      </w:r>
    </w:p>
    <w:bookmarkEnd w:id="31"/>
    <w:bookmarkStart w:name="z3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на присвоение первой, второй и третьей категорий спортивным сооружениям оказывается коммунальным государственным учреждением «Управление физической культуры и спорта города Алматы» (далее - Управление) через центры обслуживания населения (далее - ЦОН), адреса которых указаны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июля 2012 года № 981 «Об утверждении стандартов государственных услуг, оказываемых Агентством Республики Казахстан по делам спорта и физической культуры, местными исполнительными органами в сфере физической культуры и спорта» 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туризма и спорта Республики Казахстан «Об утверждении Правил использования спортивных сооружений» № 02-02-18/59 от 14 апреля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оказания государственной услуги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Управления: www.almaty-sport.kz;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Республиканского государственного предприятия «Центр обслуживания населения» (далее - РГП «Центр»):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официальных источниках информации и на стендах, расположенных в помещениях ЦОНов,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присвоение категорий спортивному сооружению, по типовой форме паспорта стандарта государственной услуги «Присвоение категорий спортивным сооружениям»,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июля 2012 года № 981 (далее - Стандарт) на бумажном носителе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Республики Казахстан (далее - получатели).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в ЦОН не превышают 7 рабочих дней (день приема документов не входит в срок оказания государственной услуги, при этом Управление представляет результат оказания государственной услуги за день до окончания срока оказания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«электронной» очереди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здании ЦОНов по месту проживания получателя. В зале располагаются справочное бюро, кресла для ожидания, информационные стенды с образцами заполненных бланков. В здании предусмотрены условия для людей с ограниченными физическими возможностями (кресла для ожидания, стенды).</w:t>
      </w:r>
    </w:p>
    <w:bookmarkEnd w:id="33"/>
    <w:bookmarkStart w:name="z3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получатель представляет в ЦОН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присвоении категории спортивному сооружению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заполненную типовую форму паспорта спортивного сооружения;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акта технического обследования спортивного сооружения в части эксплуатационной надежности, устойчивости строительных конструкций и обеспечения необходимой степени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Управление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ЦОНа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через ЦОН заполнение бланков заявлений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ЦОНе прием документов осуществляется работниками ЦОНа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сдаче всех необходимых документов для получения государственной услуги 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ЦОНа,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ЦОНе выдача готовых документов получателю осуществляется его работником посредством «окон»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не обратился за результатом услуги в указанный срок, ЦОН обеспечивает его хранение в течение одного месяца, после чего передает в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Управление отказывает в предоставлении данной государственной услуги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полного перечня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обнаружение недостоверных или искаженных данных в представленных документах.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ЦОНом будет отказано в приеме документов, в случае непредставления 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ЦОНа получателю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рассмотрении заявления выдается получателю в течение двух рабочих дней, в случае неполноты представления документов либо в сроки, установленные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Описание последовательности и взаимодействие административных действий (процедур) структурно-функциональные единицы (далее – СФЕ), приведено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5"/>
    <w:bookmarkStart w:name="z3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Управления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соблюдения конституционных прав и свобод человека и гражданина, Кодекса чести государственных служащих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противостояния проявлениям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строгого соблюдения установленных законодательством для государственных служащих запретов и ограничений;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равенства всех перед законом и судом;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приоритета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качества и недопустимости проявлений бюрократизма и волокиты при рассмотрении обращений граждан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взаимной ответственности и баланса интересов личности, общества 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учета общественного мнения и гласности при строгом соблюдении законодательства о государственных секретах и иной охраняемой законом тайне;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представления исчерпывающей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сохранности документов, в случае неявки получателя для их получения;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обеспечения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вежливости.</w:t>
      </w:r>
    </w:p>
    <w:bookmarkEnd w:id="37"/>
    <w:bookmarkStart w:name="z3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 работы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получателям измеряются показателями качества эффективности, утвержденными Стандартом.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настоящей государственной услуги «Присвоение категорий спортивным сооружениям», по которым оценивается работа Управления, ежегодно утверждаются приказом Управления.</w:t>
      </w:r>
    </w:p>
    <w:bookmarkEnd w:id="39"/>
    <w:bookmarkStart w:name="z4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Получение информации о порядке обжалования действий (бездействия) уполномоченных должностных лиц Управления и оказание содействия в подготовке обращений осуществляются по адресу, указанном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действий (бездействия) работника ЦОНа можно получить по адресам и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работником ЦОНа жалоба подается на имя руководителя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услуги, получатель может обратиться в вышестоящую инстанцию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устной или письменной форме, по почте или в электронном виде в случаях, предусмотренных действующим законодательством, либо нарочно через канцелярию Управления, акимата города Алматы и ЦОНов график и адреса которых указаны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Подтверждением принятия обращения в канцелярии Управления, акимата города Алматы и ЦОНа является его регистрация (штамп, входящий номер и дата регистрации проставляются на втором экземпляре жалобы или сопроводительном письме к жалобе).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в подтверждение о принятии его жалобы лицом, принявшим жалобу, выдается талон, в котором указываются номер, дата, фамилия лица, принявшего жалобу, с указанием контактных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Рассмотрение жалоб осуществляется в порядке и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получателю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В случаях несогласия с результатами оказанной государственной услуги, получатель имеет право обратиться в суд в установленном законодательством порядке.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категорий спортивным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сооружениям»</w:t>
      </w:r>
    </w:p>
    <w:bookmarkEnd w:id="42"/>
    <w:bookmarkStart w:name="z4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 и график работы</w:t>
      </w:r>
      <w:r>
        <w:br/>
      </w:r>
      <w:r>
        <w:rPr>
          <w:rFonts w:ascii="Times New Roman"/>
          <w:b/>
          <w:i w:val="false"/>
          <w:color w:val="000000"/>
        </w:rPr>
        <w:t>
Управления физической культуры и спорта</w:t>
      </w:r>
      <w:r>
        <w:br/>
      </w:r>
      <w:r>
        <w:rPr>
          <w:rFonts w:ascii="Times New Roman"/>
          <w:b/>
          <w:i w:val="false"/>
          <w:color w:val="000000"/>
        </w:rPr>
        <w:t>
города Алматы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2956"/>
        <w:gridCol w:w="2695"/>
        <w:gridCol w:w="3078"/>
        <w:gridCol w:w="3098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города Алматы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площадь Республики, 4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267-24-96, 267-24-90, 267-24-95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 часов до 18.00 часов, перерыв с 13.00 часов до 14.00 часов, кроме выходных и праздничных дней</w:t>
            </w:r>
          </w:p>
        </w:tc>
      </w:tr>
    </w:tbl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«Присвоение категорий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спортивным сооружениям»</w:t>
      </w:r>
    </w:p>
    <w:bookmarkEnd w:id="44"/>
    <w:bookmarkStart w:name="z4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отделов и филиала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предприятия «Центр обслуживания</w:t>
      </w:r>
      <w:r>
        <w:br/>
      </w:r>
      <w:r>
        <w:rPr>
          <w:rFonts w:ascii="Times New Roman"/>
          <w:b/>
          <w:i w:val="false"/>
          <w:color w:val="000000"/>
        </w:rPr>
        <w:t>
населения» по городу Алматы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3957"/>
        <w:gridCol w:w="2431"/>
        <w:gridCol w:w="2410"/>
        <w:gridCol w:w="3047"/>
      </w:tblGrid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Республиканского государственного предприятия «Центр обслуживания населения» по городу Алматы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Джандосова, 51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303-68-13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9.00 часов до 20.00 часов без перерыва с понедельника по субботу включительно, за исключением выходных и праздничных дней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Ауэзовского района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Джандосова, 51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303-68-25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Алмалинского района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Богенбай батыра, 221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378-09-10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Алатауского района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Шанырак-2,улица Жанкожа батыра, 24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395-36-10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Бостандыкского района 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Алмагуль, 9а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396-37-00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Жетысуского района 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Толе би, 155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330-72-43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Медеуского района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Маркова, 44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239-65-52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Турксибского района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Рихарда Зорге, 9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234-09-35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«Присвоение категорий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спортивным сооружениям»</w:t>
      </w:r>
    </w:p>
    <w:bookmarkEnd w:id="46"/>
    <w:bookmarkStart w:name="z4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 акимата города Алматы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8"/>
        <w:gridCol w:w="3085"/>
        <w:gridCol w:w="3086"/>
        <w:gridCol w:w="2571"/>
        <w:gridCol w:w="2830"/>
      </w:tblGrid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 ресурсы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Алматы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площадь Республики, 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271-66-47, ф. 271-66-47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www.almaty.kz</w:t>
            </w:r>
          </w:p>
        </w:tc>
      </w:tr>
    </w:tbl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«Присвоение категорий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спортивным сооружениям»</w:t>
      </w:r>
    </w:p>
    <w:bookmarkEnd w:id="48"/>
    <w:bookmarkStart w:name="z4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СФЕ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4049"/>
        <w:gridCol w:w="4747"/>
        <w:gridCol w:w="3186"/>
      </w:tblGrid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 потока работ)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служба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 прием документов с присвоением штрих-кода. Регистрация в Системе и выдача расписки о приеме документов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согласно реестра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накопительный отдел ЦОНа.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курьерской службе, согласно реестра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всех поступивших документов в Управление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2372"/>
        <w:gridCol w:w="2937"/>
        <w:gridCol w:w="2231"/>
        <w:gridCol w:w="2231"/>
        <w:gridCol w:w="2091"/>
      </w:tblGrid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 потока работ)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канцелярии Управления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Руководство Управления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служба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назначение ответственного работника по оказанию услуги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полученных документов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руководству Управления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Поручение (резолюция) руководства, документы направляются ответственному работнику Управления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ЦОН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получателю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рабочих дней</w:t>
            </w:r>
          </w:p>
        </w:tc>
      </w:tr>
    </w:tbl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«Присвоение категорий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спортивным сооружениям»</w:t>
      </w:r>
    </w:p>
    <w:bookmarkEnd w:id="51"/>
    <w:bookmarkStart w:name="z5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по присвоению квалификационных</w:t>
      </w:r>
      <w:r>
        <w:br/>
      </w:r>
      <w:r>
        <w:rPr>
          <w:rFonts w:ascii="Times New Roman"/>
          <w:b/>
          <w:i w:val="false"/>
          <w:color w:val="000000"/>
        </w:rPr>
        <w:t>
категорий и званий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90932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932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