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50a6" w14:textId="1ab5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услуг, оказываемых государственным учреждением "Отдел занятости и социальных программ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15 февраля 2013 года N 168/2. Зарегистрировано Департаментом юстиции Павлодарской области 12 марта 2013 года N 3477. Утратило силу постановлением акимата города Экибастуза Павлодарской области от 19 июня 2013 года N 555/6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19.06.2013 N 555/6.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электронных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безработным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Экибастуза                          А. Вербняк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      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15 февраля 2013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168/2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безработным гражданам"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справок безработным гражданам" (далее - электронная государственная услуга) оказывается государственным учреждением "Отдел занятости и социальных программ акимата города Экибастуза" (далее – услугодатель), на альтернативной основе через центр обслуживания населения по месту жительства, а также через веб-портал "электронного правительства" по адресу: www.egov.kz., при условии наличия у потребителя государственной услуги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"Физические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региональный шлюз "электронного правительства" –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структурно-функциональные единицы (далее - СФЕ) -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- документ, в котором информация представлена в электронно-цифровой форме и удостоверена посредством ЭЦП.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(справка о регистрации в качестве безработного)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>) функционального взаимодействия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(справка о регистрации в качестве безработного) сформированной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(справка о регистрации в качестве безработного),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обращения за оказанием электронной государственной услуги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веб-портале "электронного правительства" в разделе "История получения услуг", а также при обращении в ЦОН либо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СФЕ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безработным гражданам"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N 168/2        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услугодателя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154"/>
        <w:gridCol w:w="2927"/>
        <w:gridCol w:w="2504"/>
        <w:gridCol w:w="2431"/>
        <w:gridCol w:w="2563"/>
      </w:tblGrid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</w:tr>
      <w:tr>
        <w:trPr>
          <w:trHeight w:val="20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потребителя в ГБД ФЛ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</w:t>
            </w:r>
          </w:p>
        </w:tc>
      </w:tr>
      <w:tr>
        <w:trPr>
          <w:trHeight w:val="16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</w:tr>
      <w:tr>
        <w:trPr>
          <w:trHeight w:val="10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8"/>
        <w:gridCol w:w="3276"/>
        <w:gridCol w:w="3218"/>
        <w:gridCol w:w="3468"/>
      </w:tblGrid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45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055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в АРМ РШЭП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потребителя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695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- уведомления</w:t>
            </w:r>
          </w:p>
        </w:tc>
      </w:tr>
      <w:tr>
        <w:trPr>
          <w:trHeight w:val="57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102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 8 – если нарушений нет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ЦОН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2311"/>
        <w:gridCol w:w="2392"/>
        <w:gridCol w:w="2527"/>
        <w:gridCol w:w="2395"/>
        <w:gridCol w:w="2876"/>
      </w:tblGrid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19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ЦОН по логину и паролю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6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2399"/>
        <w:gridCol w:w="2533"/>
        <w:gridCol w:w="2402"/>
        <w:gridCol w:w="2900"/>
      </w:tblGrid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</w:tr>
      <w:tr>
        <w:trPr>
          <w:trHeight w:val="345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195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ЭЦП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635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- уведомления</w:t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825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ПЭП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3488"/>
        <w:gridCol w:w="3446"/>
        <w:gridCol w:w="3067"/>
        <w:gridCol w:w="2837"/>
      </w:tblGrid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</w:t>
            </w:r>
          </w:p>
        </w:tc>
      </w:tr>
      <w:tr>
        <w:trPr>
          <w:trHeight w:val="10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2772"/>
        <w:gridCol w:w="2646"/>
        <w:gridCol w:w="2836"/>
        <w:gridCol w:w="2457"/>
      </w:tblGrid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4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08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82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 8 – если нарушений нет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безработным гражданам"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N 168/2        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3312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ЦОН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4074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4709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безработным гражданам"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N 168/2        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 государственную услугу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4262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безработным гражданам"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N 168/2        </w:t>
      </w:r>
    </w:p>
    <w:bookmarkEnd w:id="19"/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(Выдача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безработным гражданам) на электронную государственную услугу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3627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Уведомления, предоставляемые потребителю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"Уведомления" в личном кабинете на портале "электронного правительства".</w:t>
      </w:r>
    </w:p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 электронную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услугу, предоставляемого потребителю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безработным гражданам"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N 168/2        </w:t>
      </w:r>
    </w:p>
    <w:bookmarkEnd w:id="23"/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168/2        </w:t>
      </w:r>
    </w:p>
    <w:bookmarkEnd w:id="25"/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для материального обеспечения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воспитывающихся на дому"</w:t>
      </w:r>
    </w:p>
    <w:bookmarkEnd w:id="26"/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"Оформление документов для материального обеспечения детей-инвалидов, обучающихся и воспитывающихся на дому" (далее – электронная государственная услуга) предоставляется государственным учреждением "Отдел занятости и социальных программ акимата города Экибастуза" (далее – уполномоченный орган), а также через портал "электронного правительства" по адресу: www.egov.kz. при условии наличия у потребителя государственной услуги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Стандарт), постановлений местного исполнительного органа о порядке оказания социальной помощи отдельным категориям нуждающихся граждан по решению местного представительного органа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региональный шлюз "электронного правительства" -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структурно–функциональные единицы (далее - СФЕ) -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-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28"/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(уведомление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получение потребителем результата услуги (уведомление об оформлении документов)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Экранная форма запроса на электронную государственную услугу в случае получения электронной государственной услуги посредством ПЭП представлены на веб-портале "электронного правительства" -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 или на портале ИС ЭУ во вкладке "Поданные заявки",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call-центра ПЭП: (1414).</w:t>
      </w:r>
    </w:p>
    <w:bookmarkEnd w:id="30"/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воспитывающихся на дому"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N 168/2      </w:t>
      </w:r>
    </w:p>
    <w:bookmarkEnd w:id="33"/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4233"/>
        <w:gridCol w:w="2116"/>
        <w:gridCol w:w="1975"/>
        <w:gridCol w:w="1975"/>
        <w:gridCol w:w="1694"/>
      </w:tblGrid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17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</w:tr>
      <w:tr>
        <w:trPr>
          <w:trHeight w:val="17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3075"/>
        <w:gridCol w:w="3331"/>
        <w:gridCol w:w="3204"/>
      </w:tblGrid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4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17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7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2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 8 – если нарушений нет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МИО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2404"/>
        <w:gridCol w:w="2137"/>
        <w:gridCol w:w="2137"/>
        <w:gridCol w:w="2405"/>
        <w:gridCol w:w="2940"/>
      </w:tblGrid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потребителя в ГБД ФЛ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</w:t>
            </w:r>
          </w:p>
        </w:tc>
      </w:tr>
      <w:tr>
        <w:trPr>
          <w:trHeight w:val="16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</w:tr>
      <w:tr>
        <w:trPr>
          <w:trHeight w:val="28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2616"/>
        <w:gridCol w:w="3139"/>
        <w:gridCol w:w="4187"/>
      </w:tblGrid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4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в АРМ РШЭП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потребителя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69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- уведомления</w:t>
            </w:r>
          </w:p>
        </w:tc>
      </w:tr>
      <w:tr>
        <w:trPr>
          <w:trHeight w:val="30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282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 8 – если нарушений нет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воспитывающихся на дому"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N 168/2      </w:t>
      </w:r>
    </w:p>
    <w:bookmarkEnd w:id="36"/>
    <w:bookmarkStart w:name="z7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85344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86360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воспитывающихся на дому"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N 168/2      </w:t>
      </w:r>
    </w:p>
    <w:bookmarkEnd w:id="39"/>
    <w:bookmarkStart w:name="z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воспитывающихся на дому"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N 168/2      </w:t>
      </w:r>
    </w:p>
    <w:bookmarkEnd w:id="41"/>
    <w:bookmarkStart w:name="z7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заполнения запроса на электронную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9502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994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 государственную услугу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63627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(документов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материального обеспечения детей-инвалидов, обучающихся и</w:t>
      </w:r>
      <w:r>
        <w:br/>
      </w:r>
      <w:r>
        <w:rPr>
          <w:rFonts w:ascii="Times New Roman"/>
          <w:b/>
          <w:i w:val="false"/>
          <w:color w:val="000000"/>
        </w:rPr>
        <w:t>
воспитывающихся на дому) на электронную государственную услугу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64643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