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a3b1" w14:textId="675a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Жангельдинского района Костанайской области от 21 октября 2013 года № 114. Зарегистрировано Департаментом юстиции Костанайской области 13 ноября 2013 года № 4292. Утратило силу решением маслихата Жангельдинского района Костанайской области от 17 мая 2016 года № 24</w:t>
      </w:r>
    </w:p>
    <w:p>
      <w:pPr>
        <w:spacing w:after="0"/>
        <w:ind w:left="0"/>
        <w:jc w:val="left"/>
      </w:pPr>
      <w:r>
        <w:rPr>
          <w:rFonts w:ascii="Times New Roman"/>
          <w:b w:val="false"/>
          <w:i w:val="false"/>
          <w:color w:val="ff0000"/>
          <w:sz w:val="28"/>
        </w:rPr>
        <w:t xml:space="preserve">      Сноска. Утратило силу решением маслихата Жангельдинского района Костанайской области от 17.05.2016 </w:t>
      </w:r>
      <w:r>
        <w:rPr>
          <w:rFonts w:ascii="Times New Roman"/>
          <w:b w:val="false"/>
          <w:i w:val="false"/>
          <w:color w:val="ff0000"/>
          <w:sz w:val="28"/>
        </w:rPr>
        <w:t>№ 24</w:t>
      </w:r>
      <w:r>
        <w:rPr>
          <w:rFonts w:ascii="Times New Roman"/>
          <w:b w:val="false"/>
          <w:i w:val="false"/>
          <w:color w:val="ff0000"/>
          <w:sz w:val="28"/>
        </w:rPr>
        <w:t xml:space="preserve"> (вступает в силу с момента принятия).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Жангельдинский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Жангельдинского районного маслихата от 18 февраля 2013 года № 84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4071, опубликовано 2 апреля 2013 года в газете "Біздің Торғай").</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Жангельдинского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Жангельдинского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 Джангельдинского района"</w:t>
      </w:r>
      <w:r>
        <w:br/>
      </w:r>
      <w:r>
        <w:rPr>
          <w:rFonts w:ascii="Times New Roman"/>
          <w:b w:val="false"/>
          <w:i w:val="false"/>
          <w:color w:val="000000"/>
          <w:sz w:val="28"/>
        </w:rPr>
        <w:t>
      ____________________ Л. Зейнекина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21 октября 2013 года № 114</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прожиточный минимум</w:t>
      </w:r>
      <w:r>
        <w:rPr>
          <w:rFonts w:ascii="Times New Roman"/>
          <w:b w:val="false"/>
          <w:i w:val="false"/>
          <w:color w:val="000000"/>
          <w:sz w:val="28"/>
        </w:rPr>
        <w:t xml:space="preserve">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xml:space="preserve">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val="false"/>
          <w:i w:val="false"/>
          <w:color w:val="000000"/>
          <w:sz w:val="28"/>
        </w:rPr>
        <w:t>2. Порядок определения перечня категорий получателей социальной помощи и установления размеров социальной помощи</w:t>
      </w:r>
      <w:r>
        <w:br/>
      </w: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6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послесреднего или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30 месячных расчетных показателей;</w:t>
      </w:r>
      <w:r>
        <w:br/>
      </w:r>
      <w:r>
        <w:rPr>
          <w:rFonts w:ascii="Times New Roman"/>
          <w:b w:val="false"/>
          <w:i w:val="false"/>
          <w:color w:val="000000"/>
          <w:sz w:val="28"/>
        </w:rPr>
        <w:t>
      8) участникам и инвалидам Великой Отечественной войны, в размере 25 месячных расчетных показателей;</w:t>
      </w:r>
      <w:r>
        <w:br/>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3. Порядок оказания социальной помощи</w:t>
      </w:r>
      <w:r>
        <w:br/>
      </w: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сведения о доходах лица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Жангельдинского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Основания для прекращения и возврата предоставляемой социальной помощи</w:t>
      </w:r>
      <w:r>
        <w:br/>
      </w: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5. Заключительное положение</w:t>
      </w:r>
      <w:r>
        <w:br/>
      </w: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