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ddc2b" w14:textId="a0ddc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Аулиекольского района на 2014-2016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27 декабря 2013 года № 122. Зарегистрировано Департаментом юстиции Костанайской области 30 декабря 2013 года № 4378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Аулиекольский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района на 2014-2016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4636751,7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819709,0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8381,0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4176,0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3804485,7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4757975,2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37938,2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46668,2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8730,0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-159161,7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159161,7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1 - в редакции решения маслихата Аулиекольского района Костанайской области от 27.11.2014 </w:t>
      </w:r>
      <w:r>
        <w:rPr>
          <w:rFonts w:ascii="Times New Roman"/>
          <w:b w:val="false"/>
          <w:i w:val="false"/>
          <w:color w:val="000000"/>
          <w:sz w:val="28"/>
        </w:rPr>
        <w:t>№ 202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района на 2014 год предусмотрен объем субвенции, передаваемой из областного бюджета бюджету района в сумме 1974897,0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Учесть, что в бюджете района на 2014 год предусмотрено поступление целевых текущих трансфертов из республиканского бюджета, в том числе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реализацию государственного образовательного заказа в дошкольных организациях образования в сумме 41057,0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реализацию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образования в Республики Казахстан на 2011-2020 годы в сумме 2500,0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повышение оплаты труда учителям, прошедшим повышения квалификации по трехуровневой системе в сумме 24709,0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3 - в редакции решения маслихата Аулиекольского района Костанайской области от 27.11.2014 </w:t>
      </w:r>
      <w:r>
        <w:rPr>
          <w:rFonts w:ascii="Times New Roman"/>
          <w:b w:val="false"/>
          <w:i w:val="false"/>
          <w:color w:val="000000"/>
          <w:sz w:val="28"/>
        </w:rPr>
        <w:t>№ 202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Учесть, что в бюджете района на 2014 год предусмотрено поступление целевых текущих трансфертов из областного бюджета на развитие городов и сельских населенных пунктов в рамках </w:t>
      </w:r>
      <w:r>
        <w:rPr>
          <w:rFonts w:ascii="Times New Roman"/>
          <w:b w:val="false"/>
          <w:i w:val="false"/>
          <w:color w:val="000000"/>
          <w:sz w:val="28"/>
        </w:rPr>
        <w:t>Дорожной карты занятости 2020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сумме 19151,0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4 - в редакции решения маслихата Аулиекольского района Костанайской области от 27.11.2014 </w:t>
      </w:r>
      <w:r>
        <w:rPr>
          <w:rFonts w:ascii="Times New Roman"/>
          <w:b w:val="false"/>
          <w:i w:val="false"/>
          <w:color w:val="000000"/>
          <w:sz w:val="28"/>
        </w:rPr>
        <w:t>№ 202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Учесть, что в бюджете района на 2014 год предусмотрено поступление целевых текущих трансфертов из республиканского и областного бюджетов, в рамках реализации Плана действий по обеспечению прав и улучшению качества жизни инвалидов в сумме 581,0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5 - в редакции решения маслихата Аулиекольского района Костанайской области от 27.11.2014 </w:t>
      </w:r>
      <w:r>
        <w:rPr>
          <w:rFonts w:ascii="Times New Roman"/>
          <w:b w:val="false"/>
          <w:i w:val="false"/>
          <w:color w:val="000000"/>
          <w:sz w:val="28"/>
        </w:rPr>
        <w:t>№ 202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Учесть, что в бюджете района на 2014 год предусмотрено поступление целевых трансфертов на развитие из республиканского и областного бюджетов, в том числе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развитие коммунального хозяйства в сумме 1053421,6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развитие объектов спорта в сумме 140926,0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развитие теплоэнергетической системы в сумме 276279,6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развитие транспортной инфраструктуры в сумме 117967,0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маслихата Аулиекольского района Костанайской области от 27.11.2014 </w:t>
      </w:r>
      <w:r>
        <w:rPr>
          <w:rFonts w:ascii="Times New Roman"/>
          <w:b w:val="false"/>
          <w:i w:val="false"/>
          <w:color w:val="000000"/>
          <w:sz w:val="28"/>
        </w:rPr>
        <w:t>№ 202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Учесть, что в бюджете района на 2014 год предусмотрено поступление целевых текущих трансфертов из областного бюджета на укрепление материально-технической базы объектов коммунальной собственности в сумме 39486,0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маслихата Аулиекольского района Костанайской области от 01.08.2014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Учесть, что в бюджете района на 2014 год предусмотрено поступление бюджетных кредитов, полученных из республиканского бюджета для реализации мер социальной поддержки специалистов в сумме 46662,0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8 - в редакции решения маслихата Аулиекольского района Костанайской области от 14.11.2014 </w:t>
      </w:r>
      <w:r>
        <w:rPr>
          <w:rFonts w:ascii="Times New Roman"/>
          <w:b w:val="false"/>
          <w:i w:val="false"/>
          <w:color w:val="000000"/>
          <w:sz w:val="28"/>
        </w:rPr>
        <w:t>№ 192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Учесть в бюджете района на 2014 год погашение бюджетных кредитов в размере 8730,0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9-1. Учесть, что в бюджете района на 2014 год предусмотрено доиспользование трансфертов из областного бюджета на строительство и реконструкцию объектов образования в сумме 232,6 тысяч тенге и бюджетных кредитов для реализации мер социальной поддержки специалистов в сумме 6,2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9-1 в соответствии с решением маслихата Аулиекольского района Костанайской области от 17.02.2014 </w:t>
      </w:r>
      <w:r>
        <w:rPr>
          <w:rFonts w:ascii="Times New Roman"/>
          <w:b w:val="false"/>
          <w:i w:val="false"/>
          <w:color w:val="00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9-2. Учесть, что в бюджете района на 2014 год предусмотрен возврат неиспользованных (недоиспользованных) в 2013 году целевых трансфертов из республиканского и областного бюджетов в сумме 34 093,4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9-2 в соответствии с решением маслихата Аулиекольского района Костанайской области от 17.02.2014 </w:t>
      </w:r>
      <w:r>
        <w:rPr>
          <w:rFonts w:ascii="Times New Roman"/>
          <w:b w:val="false"/>
          <w:i w:val="false"/>
          <w:color w:val="00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9-3. Учесть, что в бюджете района на 2014 год предусмотрено доиспользование трансфертов из республиканского бюджета на строительство и реконструкцию объектов образования в сумме 48 312,9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9-3 в соответствии с решением маслихата Аулиекольского района Костанайской области от 11.04.2014 </w:t>
      </w:r>
      <w:r>
        <w:rPr>
          <w:rFonts w:ascii="Times New Roman"/>
          <w:b w:val="false"/>
          <w:i w:val="false"/>
          <w:color w:val="00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9-4. Учесть, что в бюджете района на 2014 год предусмотрено поступление трансфертов из областного бюджета на увеличение размера социальной помощи на бытовые нужды участникам и инвалидам Великой Отечественной войны с 6 месячных расчетных показателей до 10 месячных расчетных показателей в сумме 763,1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9-4 в соответствии с решением маслихата Аулиекольского района Костанайской области от 25.04.2014 </w:t>
      </w:r>
      <w:r>
        <w:rPr>
          <w:rFonts w:ascii="Times New Roman"/>
          <w:b w:val="false"/>
          <w:i w:val="false"/>
          <w:color w:val="000000"/>
          <w:sz w:val="28"/>
        </w:rPr>
        <w:t>№ 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в редакции решения маслихата Аулиекольского района Костанайской области от 27.11.2014 </w:t>
      </w:r>
      <w:r>
        <w:rPr>
          <w:rFonts w:ascii="Times New Roman"/>
          <w:b w:val="false"/>
          <w:i w:val="false"/>
          <w:color w:val="000000"/>
          <w:sz w:val="28"/>
        </w:rPr>
        <w:t>№ 202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9-5. Учесть, что в бюджете района на 2014 год предусмотрено поступление трансфертов из республиканского бюджета, в том числе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 в сумме 85250,0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выплату государственных пособий на детей до 18 лет в сумме 4441,0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выплату государственной адресной социальной помощи в сумме 200,0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9-5 в соответствии с решением маслихата Аулиекольского района Костанайской области от 25.04.2014 </w:t>
      </w:r>
      <w:r>
        <w:rPr>
          <w:rFonts w:ascii="Times New Roman"/>
          <w:b w:val="false"/>
          <w:i w:val="false"/>
          <w:color w:val="000000"/>
          <w:sz w:val="28"/>
        </w:rPr>
        <w:t>№ 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в редакции решения маслихата Аулиекольского района Костанайской области от 27.11.2014 </w:t>
      </w:r>
      <w:r>
        <w:rPr>
          <w:rFonts w:ascii="Times New Roman"/>
          <w:b w:val="false"/>
          <w:i w:val="false"/>
          <w:color w:val="000000"/>
          <w:sz w:val="28"/>
        </w:rPr>
        <w:t>№ 202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9-6. Учесть, что в бюджете района на 2014 год предусмотрен возврат неиспользованных (недоиспользованных) в 2009-2012 годах целевых трансфертов из республиканского бюджета в сумме 1316,8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9-6 в соответствии с решением маслихата Аулиекольского района Костанайской области от 01.08.2014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9-7. Учесть, что в бюджете района на 2014 год предусмотрено обслуживание долга по выплате вознаграждений по бюджетным кредитам, подлежащим перечислению в областной бюджет в сумме 12,7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9-7 в соответствии с решением маслихата Аулиекольского района Костанайской области от 01.08.2014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в редакции решения маслихата Аулиекольского района Костанайской области от 14.11.2014 </w:t>
      </w:r>
      <w:r>
        <w:rPr>
          <w:rFonts w:ascii="Times New Roman"/>
          <w:b w:val="false"/>
          <w:i w:val="false"/>
          <w:color w:val="000000"/>
          <w:sz w:val="28"/>
        </w:rPr>
        <w:t>№ 192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9-8. Учесть, что в бюджете района на 2014 год предусмотрено поступление трансфертов из областного бюджета на погашение задолженности за кабинеты химии, приобретенные в 2013 году в сумме 16856,0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9-8 в соответствии с решением маслихата Аулиекольского района Костанайской области от 27.11.2014 </w:t>
      </w:r>
      <w:r>
        <w:rPr>
          <w:rFonts w:ascii="Times New Roman"/>
          <w:b w:val="false"/>
          <w:i w:val="false"/>
          <w:color w:val="000000"/>
          <w:sz w:val="28"/>
        </w:rPr>
        <w:t>№ 202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Утвердить резерв местного исполнительного органа района на 2014 год в сумме 8023,0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Утвердить перечень бюджетных программ, не подлежащих секвестру в процессе исполнения бюджета района на 2014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Утвердить перечень бюджетных программ каждого района в городе, города районного значения, поселка, села, сельского округа на 2014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Настоящее решение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восьмой сессии                             Д. Койшибаев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Бондаренко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Аулиекольского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Т.И. Печникова</w:t>
      </w:r>
    </w:p>
    <w:bookmarkStart w:name="z2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декабря 2013 года № 122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Аулиекольского района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1 - в редакции решения маслихата Аулиекольского района Костанайской области от 27.11.2014 </w:t>
      </w:r>
      <w:r>
        <w:rPr>
          <w:rFonts w:ascii="Times New Roman"/>
          <w:b w:val="false"/>
          <w:i w:val="false"/>
          <w:color w:val="ff0000"/>
          <w:sz w:val="28"/>
        </w:rPr>
        <w:t>№ 202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53"/>
        <w:gridCol w:w="713"/>
        <w:gridCol w:w="713"/>
        <w:gridCol w:w="6853"/>
        <w:gridCol w:w="217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4636751,7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819709,0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372856,0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372856,0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270814,0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270814,0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147261,0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77434,0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5501,0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60209,0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4117,0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17724,0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5972,0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4695,0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7057,0</w:t>
            </w:r>
          </w:p>
        </w:tc>
      </w:tr>
      <w:tr>
        <w:trPr>
          <w:trHeight w:val="12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11054,0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11054,0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8381,0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4176,0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3804485,7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3804485,7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3804485,7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53"/>
        <w:gridCol w:w="713"/>
        <w:gridCol w:w="713"/>
        <w:gridCol w:w="6833"/>
        <w:gridCol w:w="219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4757975,2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281714,8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251598,8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12827,0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12806,0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21,0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76243,0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75053,0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162528,8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160443,8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15452,0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15452,0</w:t>
            </w:r>
          </w:p>
        </w:tc>
      </w:tr>
      <w:tr>
        <w:trPr>
          <w:trHeight w:val="11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14280,0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14664,0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14664,0</w:t>
            </w:r>
          </w:p>
        </w:tc>
      </w:tr>
      <w:tr>
        <w:trPr>
          <w:trHeight w:val="11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14664,0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8413,2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7930,0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483,2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483,2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483,2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2180844,5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193160,0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193160,0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147261,0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45899,0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1867893,6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19382,0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19382,0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1848511,6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1799474,6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49037,0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119790,9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70821,8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12866,5</w:t>
            </w:r>
          </w:p>
        </w:tc>
      </w:tr>
      <w:tr>
        <w:trPr>
          <w:trHeight w:val="11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20867,2</w:t>
            </w:r>
          </w:p>
        </w:tc>
      </w:tr>
      <w:tr>
        <w:trPr>
          <w:trHeight w:val="11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18226,0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386,1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18476,0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48969,1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48969,1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132551,0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105813,6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105813,6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17119,7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4331,6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18187,1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1367,9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19046,7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30451,0</w:t>
            </w:r>
          </w:p>
        </w:tc>
      </w:tr>
      <w:tr>
        <w:trPr>
          <w:trHeight w:val="14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3809,6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26737,4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26156,4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25611,4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67631,8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19238,1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19151,0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19151,0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87,1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87,1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8019,4</w:t>
            </w:r>
          </w:p>
        </w:tc>
      </w:tr>
      <w:tr>
        <w:trPr>
          <w:trHeight w:val="8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8019,4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8019,4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40374,3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34258,3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9509,0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6116,3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18473,0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6116,0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6116,0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298258,3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48275,3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43811,0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43811,0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4464,3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4464,3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168964,0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28038,0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12692,0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8575,0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140926,0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140926,0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55977,0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51695,0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44947,0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6748,0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4282,0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25042,0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16450,0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8149,0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8301,0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8592,0</w:t>
            </w:r>
          </w:p>
        </w:tc>
      </w:tr>
      <w:tr>
        <w:trPr>
          <w:trHeight w:val="11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7086,6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1505,4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1329828,2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1329828,2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1329751,2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1329751,2</w:t>
            </w:r>
          </w:p>
        </w:tc>
      </w:tr>
      <w:tr>
        <w:trPr>
          <w:trHeight w:val="11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99602,7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34471,7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8177,7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8177,7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17171,0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16271,0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9123,0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5283,0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2840,0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9776,0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9776,0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8976,0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55355,0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55355,0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55355,0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14253,0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14253,0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8171,0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8171,0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6082,0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6082,0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199978,0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199978,0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13266,0</w:t>
            </w:r>
          </w:p>
        </w:tc>
      </w:tr>
      <w:tr>
        <w:trPr>
          <w:trHeight w:val="8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13266,0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186712,0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125718,4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60993,6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109476,8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6354,0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6354,0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103122,8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21447,9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21447,9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4614,1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4614,1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61024,8</w:t>
            </w:r>
          </w:p>
        </w:tc>
      </w:tr>
      <w:tr>
        <w:trPr>
          <w:trHeight w:val="11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18817,4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42207,4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8639,0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8639,0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7397,0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7397,0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12,7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12,7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12,7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12,7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35410,2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35410,2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35410,2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35410,2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37938,2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46668,2</w:t>
            </w:r>
          </w:p>
        </w:tc>
      </w:tr>
      <w:tr>
        <w:trPr>
          <w:trHeight w:val="11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46668,2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46668,2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46668,2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46668,2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-159161,7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159161,7</w:t>
            </w:r>
          </w:p>
        </w:tc>
      </w:tr>
    </w:tbl>
    <w:bookmarkStart w:name="z2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декабря 2013 года № 122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Аулиекольского района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2 - в редакции решения маслихата Аулиекольского района Костанайской области от 01.08.2014 </w:t>
      </w:r>
      <w:r>
        <w:rPr>
          <w:rFonts w:ascii="Times New Roman"/>
          <w:b w:val="false"/>
          <w:i w:val="false"/>
          <w:color w:val="ff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453"/>
        <w:gridCol w:w="393"/>
        <w:gridCol w:w="8273"/>
        <w:gridCol w:w="201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85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3192917,0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838641,0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391370,0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391370,0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294643,0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294643,0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125791,0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64022,0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8959,0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47893,0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4917,0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18012,0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6069,0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3632,0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8311,0</w:t>
            </w:r>
          </w:p>
        </w:tc>
      </w:tr>
      <w:tr>
        <w:trPr>
          <w:trHeight w:val="12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8825,0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8825,0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6526,0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2290,0</w:t>
            </w:r>
          </w:p>
        </w:tc>
      </w:tr>
      <w:tr>
        <w:trPr>
          <w:trHeight w:val="8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государственой собственности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2290,0</w:t>
            </w:r>
          </w:p>
        </w:tc>
      </w:tr>
      <w:tr>
        <w:trPr>
          <w:trHeight w:val="11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1375,0</w:t>
            </w:r>
          </w:p>
        </w:tc>
      </w:tr>
      <w:tr>
        <w:trPr>
          <w:trHeight w:val="11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5123,0</w:t>
            </w:r>
          </w:p>
        </w:tc>
      </w:tr>
      <w:tr>
        <w:trPr>
          <w:trHeight w:val="8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2518,0</w:t>
            </w:r>
          </w:p>
        </w:tc>
      </w:tr>
      <w:tr>
        <w:trPr>
          <w:trHeight w:val="8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2342627,0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2342627,0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2342627,0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433"/>
        <w:gridCol w:w="733"/>
        <w:gridCol w:w="753"/>
        <w:gridCol w:w="7253"/>
        <w:gridCol w:w="207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85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3192917,0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278548,0</w:t>
            </w:r>
          </w:p>
        </w:tc>
      </w:tr>
      <w:tr>
        <w:trPr>
          <w:trHeight w:val="8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245234,0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12939,0</w:t>
            </w:r>
          </w:p>
        </w:tc>
      </w:tr>
      <w:tr>
        <w:trPr>
          <w:trHeight w:val="8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12939,0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69642,0</w:t>
            </w:r>
          </w:p>
        </w:tc>
      </w:tr>
      <w:tr>
        <w:trPr>
          <w:trHeight w:val="8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 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67392,0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2250,0</w:t>
            </w:r>
          </w:p>
        </w:tc>
      </w:tr>
      <w:tr>
        <w:trPr>
          <w:trHeight w:val="8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162653,0</w:t>
            </w:r>
          </w:p>
        </w:tc>
      </w:tr>
      <w:tr>
        <w:trPr>
          <w:trHeight w:val="11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162653,0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18391,0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18391,0</w:t>
            </w:r>
          </w:p>
        </w:tc>
      </w:tr>
      <w:tr>
        <w:trPr>
          <w:trHeight w:val="17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15719,0</w:t>
            </w:r>
          </w:p>
        </w:tc>
      </w:tr>
      <w:tr>
        <w:trPr>
          <w:trHeight w:val="11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672,0</w:t>
            </w:r>
          </w:p>
        </w:tc>
      </w:tr>
      <w:tr>
        <w:trPr>
          <w:trHeight w:val="8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14923,0</w:t>
            </w:r>
          </w:p>
        </w:tc>
      </w:tr>
      <w:tr>
        <w:trPr>
          <w:trHeight w:val="8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14923,0</w:t>
            </w:r>
          </w:p>
        </w:tc>
      </w:tr>
      <w:tr>
        <w:trPr>
          <w:trHeight w:val="17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14923,0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6454,0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6254,0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6254,0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6254,0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1940342,0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142115,0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142115,0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142115,0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1734662,0</w:t>
            </w:r>
          </w:p>
        </w:tc>
      </w:tr>
      <w:tr>
        <w:trPr>
          <w:trHeight w:val="8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12811,0</w:t>
            </w:r>
          </w:p>
        </w:tc>
      </w:tr>
      <w:tr>
        <w:trPr>
          <w:trHeight w:val="8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12811,0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1721851,0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Общеообразовательное обучение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1664839,0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57012,0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63565,0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63565,0</w:t>
            </w:r>
          </w:p>
        </w:tc>
      </w:tr>
      <w:tr>
        <w:trPr>
          <w:trHeight w:val="8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13118,0</w:t>
            </w:r>
          </w:p>
        </w:tc>
      </w:tr>
      <w:tr>
        <w:trPr>
          <w:trHeight w:val="14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21095,0</w:t>
            </w:r>
          </w:p>
        </w:tc>
      </w:tr>
      <w:tr>
        <w:trPr>
          <w:trHeight w:val="14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(детей),оставшегося без попечения родителей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19505,0</w:t>
            </w:r>
          </w:p>
        </w:tc>
      </w:tr>
      <w:tr>
        <w:trPr>
          <w:trHeight w:val="14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847,0</w:t>
            </w:r>
          </w:p>
        </w:tc>
      </w:tr>
      <w:tr>
        <w:trPr>
          <w:trHeight w:val="8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135291,0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110148,0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110148,0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18300,0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11300,0</w:t>
            </w:r>
          </w:p>
        </w:tc>
      </w:tr>
      <w:tr>
        <w:trPr>
          <w:trHeight w:val="11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19500,0</w:t>
            </w:r>
          </w:p>
        </w:tc>
      </w:tr>
      <w:tr>
        <w:trPr>
          <w:trHeight w:val="8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17224,0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31694,0</w:t>
            </w:r>
          </w:p>
        </w:tc>
      </w:tr>
      <w:tr>
        <w:trPr>
          <w:trHeight w:val="14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4010,0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25143,0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25143,0</w:t>
            </w:r>
          </w:p>
        </w:tc>
      </w:tr>
      <w:tr>
        <w:trPr>
          <w:trHeight w:val="11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24558,0</w:t>
            </w:r>
          </w:p>
        </w:tc>
      </w:tr>
      <w:tr>
        <w:trPr>
          <w:trHeight w:val="8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37736,0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37736,0</w:t>
            </w:r>
          </w:p>
        </w:tc>
      </w:tr>
      <w:tr>
        <w:trPr>
          <w:trHeight w:val="8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34536,0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9576,0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16800,0</w:t>
            </w:r>
          </w:p>
        </w:tc>
      </w:tr>
      <w:tr>
        <w:trPr>
          <w:trHeight w:val="11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400305,0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40330,0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40330,0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40330,0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287939,0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21671,0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5700,0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7471,0</w:t>
            </w:r>
          </w:p>
        </w:tc>
      </w:tr>
      <w:tr>
        <w:trPr>
          <w:trHeight w:val="8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995,0</w:t>
            </w:r>
          </w:p>
        </w:tc>
      </w:tr>
      <w:tr>
        <w:trPr>
          <w:trHeight w:val="11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7505,0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266268,0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266268,0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53750,0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50550,0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44116,0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6434,0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2800,0</w:t>
            </w:r>
          </w:p>
        </w:tc>
      </w:tr>
      <w:tr>
        <w:trPr>
          <w:trHeight w:val="8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18286,0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10888,0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8388,0</w:t>
            </w:r>
          </w:p>
        </w:tc>
      </w:tr>
      <w:tr>
        <w:trPr>
          <w:trHeight w:val="8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7398,0</w:t>
            </w:r>
          </w:p>
        </w:tc>
      </w:tr>
      <w:tr>
        <w:trPr>
          <w:trHeight w:val="14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6998,0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11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97687,0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33395,0</w:t>
            </w:r>
          </w:p>
        </w:tc>
      </w:tr>
      <w:tr>
        <w:trPr>
          <w:trHeight w:val="8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8086,0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8086,0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16229,0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16229,0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9080,0</w:t>
            </w:r>
          </w:p>
        </w:tc>
      </w:tr>
      <w:tr>
        <w:trPr>
          <w:trHeight w:val="8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5240,0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2840,0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8937,0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8937,0</w:t>
            </w:r>
          </w:p>
        </w:tc>
      </w:tr>
      <w:tr>
        <w:trPr>
          <w:trHeight w:val="11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8937,0</w:t>
            </w:r>
          </w:p>
        </w:tc>
      </w:tr>
      <w:tr>
        <w:trPr>
          <w:trHeight w:val="11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55355,0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55355,0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55355,0</w:t>
            </w:r>
          </w:p>
        </w:tc>
      </w:tr>
      <w:tr>
        <w:trPr>
          <w:trHeight w:val="8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14136,0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14136,0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7877,0</w:t>
            </w:r>
          </w:p>
        </w:tc>
      </w:tr>
      <w:tr>
        <w:trPr>
          <w:trHeight w:val="8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7877,0</w:t>
            </w:r>
          </w:p>
        </w:tc>
      </w:tr>
      <w:tr>
        <w:trPr>
          <w:trHeight w:val="8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6259,0</w:t>
            </w:r>
          </w:p>
        </w:tc>
      </w:tr>
      <w:tr>
        <w:trPr>
          <w:trHeight w:val="8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6259,0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217650,0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217650,0</w:t>
            </w:r>
          </w:p>
        </w:tc>
      </w:tr>
      <w:tr>
        <w:trPr>
          <w:trHeight w:val="8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12550,0</w:t>
            </w:r>
          </w:p>
        </w:tc>
      </w:tr>
      <w:tr>
        <w:trPr>
          <w:trHeight w:val="8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12550,0</w:t>
            </w:r>
          </w:p>
        </w:tc>
      </w:tr>
      <w:tr>
        <w:trPr>
          <w:trHeight w:val="11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205100,0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180000,0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25100,0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64768,0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6289,0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6289,0</w:t>
            </w:r>
          </w:p>
        </w:tc>
      </w:tr>
      <w:tr>
        <w:trPr>
          <w:trHeight w:val="11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6139,0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58479,0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8503,0</w:t>
            </w:r>
          </w:p>
        </w:tc>
      </w:tr>
      <w:tr>
        <w:trPr>
          <w:trHeight w:val="8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8503,0</w:t>
            </w:r>
          </w:p>
        </w:tc>
      </w:tr>
      <w:tr>
        <w:trPr>
          <w:trHeight w:val="11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7878,0</w:t>
            </w:r>
          </w:p>
        </w:tc>
      </w:tr>
      <w:tr>
        <w:trPr>
          <w:trHeight w:val="14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7878,0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42098,0</w:t>
            </w:r>
          </w:p>
        </w:tc>
      </w:tr>
      <w:tr>
        <w:trPr>
          <w:trHeight w:val="8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42098,0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-8730,0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8730,0</w:t>
            </w:r>
          </w:p>
        </w:tc>
      </w:tr>
      <w:tr>
        <w:trPr>
          <w:trHeight w:val="5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8730,0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VI.Финансирование дефицита (использование профицита)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-8730,0</w:t>
            </w:r>
          </w:p>
        </w:tc>
      </w:tr>
    </w:tbl>
    <w:bookmarkStart w:name="z3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декабря 2013 года № 122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Аулиекольского района на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3 - в редакции решения маслихата Аулиекольского района Костанайской области от 01.08.2014 </w:t>
      </w:r>
      <w:r>
        <w:rPr>
          <w:rFonts w:ascii="Times New Roman"/>
          <w:b w:val="false"/>
          <w:i w:val="false"/>
          <w:color w:val="ff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493"/>
        <w:gridCol w:w="513"/>
        <w:gridCol w:w="8273"/>
        <w:gridCol w:w="197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85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3853236,0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894766,0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416529,0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416529,0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315268,0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315268,0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134253,0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68504,0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9586,0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51246,0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4917,0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19275,0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6493,0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3887,0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8895,0</w:t>
            </w:r>
          </w:p>
        </w:tc>
      </w:tr>
      <w:tr>
        <w:trPr>
          <w:trHeight w:val="12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9441,0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9441,0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2450,0</w:t>
            </w:r>
          </w:p>
        </w:tc>
      </w:tr>
      <w:tr>
        <w:trPr>
          <w:trHeight w:val="8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государственой собственности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2450,0</w:t>
            </w:r>
          </w:p>
        </w:tc>
      </w:tr>
      <w:tr>
        <w:trPr>
          <w:trHeight w:val="11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1472,0</w:t>
            </w:r>
          </w:p>
        </w:tc>
      </w:tr>
      <w:tr>
        <w:trPr>
          <w:trHeight w:val="11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5482,0</w:t>
            </w:r>
          </w:p>
        </w:tc>
      </w:tr>
      <w:tr>
        <w:trPr>
          <w:trHeight w:val="8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2695,0</w:t>
            </w:r>
          </w:p>
        </w:tc>
      </w:tr>
      <w:tr>
        <w:trPr>
          <w:trHeight w:val="8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2946006,0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2946006,0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2946006,0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433"/>
        <w:gridCol w:w="713"/>
        <w:gridCol w:w="713"/>
        <w:gridCol w:w="7453"/>
        <w:gridCol w:w="197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85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3853236,0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279988,0</w:t>
            </w:r>
          </w:p>
        </w:tc>
      </w:tr>
      <w:tr>
        <w:trPr>
          <w:trHeight w:val="8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246914,0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12964,0</w:t>
            </w:r>
          </w:p>
        </w:tc>
      </w:tr>
      <w:tr>
        <w:trPr>
          <w:trHeight w:val="8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12964,0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70742,0</w:t>
            </w:r>
          </w:p>
        </w:tc>
      </w:tr>
      <w:tr>
        <w:trPr>
          <w:trHeight w:val="8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 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67992,0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2750,0</w:t>
            </w:r>
          </w:p>
        </w:tc>
      </w:tr>
      <w:tr>
        <w:trPr>
          <w:trHeight w:val="8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163208,0</w:t>
            </w:r>
          </w:p>
        </w:tc>
      </w:tr>
      <w:tr>
        <w:trPr>
          <w:trHeight w:val="11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163208,0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18271,0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18271,0</w:t>
            </w:r>
          </w:p>
        </w:tc>
      </w:tr>
      <w:tr>
        <w:trPr>
          <w:trHeight w:val="17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15599,0</w:t>
            </w:r>
          </w:p>
        </w:tc>
      </w:tr>
      <w:tr>
        <w:trPr>
          <w:trHeight w:val="11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672,0</w:t>
            </w:r>
          </w:p>
        </w:tc>
      </w:tr>
      <w:tr>
        <w:trPr>
          <w:trHeight w:val="8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14803,0</w:t>
            </w:r>
          </w:p>
        </w:tc>
      </w:tr>
      <w:tr>
        <w:trPr>
          <w:trHeight w:val="8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14803,0</w:t>
            </w:r>
          </w:p>
        </w:tc>
      </w:tr>
      <w:tr>
        <w:trPr>
          <w:trHeight w:val="17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14803,0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6454,0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6254,0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6254,0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6254,0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1959308,0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144615,0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144615,0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144615,0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1741163,0</w:t>
            </w:r>
          </w:p>
        </w:tc>
      </w:tr>
      <w:tr>
        <w:trPr>
          <w:trHeight w:val="8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12974,0</w:t>
            </w:r>
          </w:p>
        </w:tc>
      </w:tr>
      <w:tr>
        <w:trPr>
          <w:trHeight w:val="8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12974,0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1728189,0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Общеообразовательное обучение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1671177,0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57012,0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73530,0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73530,0</w:t>
            </w:r>
          </w:p>
        </w:tc>
      </w:tr>
      <w:tr>
        <w:trPr>
          <w:trHeight w:val="8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13150,0</w:t>
            </w:r>
          </w:p>
        </w:tc>
      </w:tr>
      <w:tr>
        <w:trPr>
          <w:trHeight w:val="14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25550,0</w:t>
            </w:r>
          </w:p>
        </w:tc>
      </w:tr>
      <w:tr>
        <w:trPr>
          <w:trHeight w:val="14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(детей),оставшегося без попечения родителей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20873,0</w:t>
            </w:r>
          </w:p>
        </w:tc>
      </w:tr>
      <w:tr>
        <w:trPr>
          <w:trHeight w:val="14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957,0</w:t>
            </w:r>
          </w:p>
        </w:tc>
      </w:tr>
      <w:tr>
        <w:trPr>
          <w:trHeight w:val="8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146306,0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121103,0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121103,0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19500,0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7597,0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12100,0</w:t>
            </w:r>
          </w:p>
        </w:tc>
      </w:tr>
      <w:tr>
        <w:trPr>
          <w:trHeight w:val="11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20800,0</w:t>
            </w:r>
          </w:p>
        </w:tc>
      </w:tr>
      <w:tr>
        <w:trPr>
          <w:trHeight w:val="8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17224,0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38500,0</w:t>
            </w:r>
          </w:p>
        </w:tc>
      </w:tr>
      <w:tr>
        <w:trPr>
          <w:trHeight w:val="14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4292,0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25203,0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25203,0</w:t>
            </w:r>
          </w:p>
        </w:tc>
      </w:tr>
      <w:tr>
        <w:trPr>
          <w:trHeight w:val="11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24577,0</w:t>
            </w:r>
          </w:p>
        </w:tc>
      </w:tr>
      <w:tr>
        <w:trPr>
          <w:trHeight w:val="8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1098376,0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415,0</w:t>
            </w:r>
          </w:p>
        </w:tc>
      </w:tr>
      <w:tr>
        <w:trPr>
          <w:trHeight w:val="11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1048931,0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1048931,0</w:t>
            </w:r>
          </w:p>
        </w:tc>
      </w:tr>
      <w:tr>
        <w:trPr>
          <w:trHeight w:val="8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1048931,0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49030,0</w:t>
            </w:r>
          </w:p>
        </w:tc>
      </w:tr>
      <w:tr>
        <w:trPr>
          <w:trHeight w:val="8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45530,0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10280,0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11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134238,0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40330,0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40330,0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40330,0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21701,0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21701,0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5730,0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7471,0</w:t>
            </w:r>
          </w:p>
        </w:tc>
      </w:tr>
      <w:tr>
        <w:trPr>
          <w:trHeight w:val="8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995,0</w:t>
            </w:r>
          </w:p>
        </w:tc>
      </w:tr>
      <w:tr>
        <w:trPr>
          <w:trHeight w:val="11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7505,0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54391,0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51191,0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44757,0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6434,0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2800,0</w:t>
            </w:r>
          </w:p>
        </w:tc>
      </w:tr>
      <w:tr>
        <w:trPr>
          <w:trHeight w:val="8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17816,0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10388,0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8388,0</w:t>
            </w:r>
          </w:p>
        </w:tc>
      </w:tr>
      <w:tr>
        <w:trPr>
          <w:trHeight w:val="8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7428,0</w:t>
            </w:r>
          </w:p>
        </w:tc>
      </w:tr>
      <w:tr>
        <w:trPr>
          <w:trHeight w:val="14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7028,0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11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98695,0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34523,0</w:t>
            </w:r>
          </w:p>
        </w:tc>
      </w:tr>
      <w:tr>
        <w:trPr>
          <w:trHeight w:val="8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9287,0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9287,0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16156,0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16156,0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9080,0</w:t>
            </w:r>
          </w:p>
        </w:tc>
      </w:tr>
      <w:tr>
        <w:trPr>
          <w:trHeight w:val="8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5240,0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2840,0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8817,0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8817,0</w:t>
            </w:r>
          </w:p>
        </w:tc>
      </w:tr>
      <w:tr>
        <w:trPr>
          <w:trHeight w:val="11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8817,0</w:t>
            </w:r>
          </w:p>
        </w:tc>
      </w:tr>
      <w:tr>
        <w:trPr>
          <w:trHeight w:val="11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55355,0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55355,0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55355,0</w:t>
            </w:r>
          </w:p>
        </w:tc>
      </w:tr>
      <w:tr>
        <w:trPr>
          <w:trHeight w:val="8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14044,0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14044,0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7905,0</w:t>
            </w:r>
          </w:p>
        </w:tc>
      </w:tr>
      <w:tr>
        <w:trPr>
          <w:trHeight w:val="8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7905,0</w:t>
            </w:r>
          </w:p>
        </w:tc>
      </w:tr>
      <w:tr>
        <w:trPr>
          <w:trHeight w:val="8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6139,0</w:t>
            </w:r>
          </w:p>
        </w:tc>
      </w:tr>
      <w:tr>
        <w:trPr>
          <w:trHeight w:val="8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6139,0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50500,0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50500,0</w:t>
            </w:r>
          </w:p>
        </w:tc>
      </w:tr>
      <w:tr>
        <w:trPr>
          <w:trHeight w:val="8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13500,0</w:t>
            </w:r>
          </w:p>
        </w:tc>
      </w:tr>
      <w:tr>
        <w:trPr>
          <w:trHeight w:val="8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13500,0</w:t>
            </w:r>
          </w:p>
        </w:tc>
      </w:tr>
      <w:tr>
        <w:trPr>
          <w:trHeight w:val="11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65327,0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6369,0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6369,0</w:t>
            </w:r>
          </w:p>
        </w:tc>
      </w:tr>
      <w:tr>
        <w:trPr>
          <w:trHeight w:val="11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6169,0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58958,0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9072,0</w:t>
            </w:r>
          </w:p>
        </w:tc>
      </w:tr>
      <w:tr>
        <w:trPr>
          <w:trHeight w:val="8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9072,0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42098,0</w:t>
            </w:r>
          </w:p>
        </w:tc>
      </w:tr>
      <w:tr>
        <w:trPr>
          <w:trHeight w:val="8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42098,0</w:t>
            </w:r>
          </w:p>
        </w:tc>
      </w:tr>
      <w:tr>
        <w:trPr>
          <w:trHeight w:val="11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7788,0</w:t>
            </w:r>
          </w:p>
        </w:tc>
      </w:tr>
      <w:tr>
        <w:trPr>
          <w:trHeight w:val="14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7788,0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-8730,0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8730,0</w:t>
            </w:r>
          </w:p>
        </w:tc>
      </w:tr>
      <w:tr>
        <w:trPr>
          <w:trHeight w:val="5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8730,0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-8730,0</w:t>
            </w:r>
          </w:p>
        </w:tc>
      </w:tr>
    </w:tbl>
    <w:bookmarkStart w:name="z3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декабря 2013 года № 122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бюджета района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53"/>
        <w:gridCol w:w="713"/>
        <w:gridCol w:w="713"/>
        <w:gridCol w:w="909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Общеообразовательное обучение</w:t>
            </w:r>
          </w:p>
        </w:tc>
      </w:tr>
    </w:tbl>
    <w:bookmarkStart w:name="z3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декабря 2013 года № 122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каждого района в городе, города</w:t>
      </w:r>
      <w:r>
        <w:br/>
      </w:r>
      <w:r>
        <w:rPr>
          <w:rFonts w:ascii="Times New Roman"/>
          <w:b/>
          <w:i w:val="false"/>
          <w:color w:val="000000"/>
        </w:rPr>
        <w:t>
районного значения, поселка, села, сельского округа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в редакции решения маслихата Аулиекольского района Костанайской области от 14.11.2014 </w:t>
      </w:r>
      <w:r>
        <w:rPr>
          <w:rFonts w:ascii="Times New Roman"/>
          <w:b w:val="false"/>
          <w:i w:val="false"/>
          <w:color w:val="ff0000"/>
          <w:sz w:val="28"/>
        </w:rPr>
        <w:t>№ 192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53"/>
        <w:gridCol w:w="713"/>
        <w:gridCol w:w="713"/>
        <w:gridCol w:w="6633"/>
        <w:gridCol w:w="239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250883,0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162528,8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162528,8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160443,8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160443,8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Аулиеколь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17675,0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Аманкарагайского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16705,0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Диевского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9033,0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Казанбасского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12139,0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Косагал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7012,0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Кушмурун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17743,0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Москалевского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7831,0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Новонежинского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Новоселовского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10417,8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Сулукольского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7882,0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Тимофеевка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8747,0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имени К. Тургумбаева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7047,0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Черниговского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9202,0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Первомайское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8086,0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Коктал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8844,0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Аманкарагайского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Новоселовского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19382,0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19382,0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19382,0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19382,0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Аманкарагайского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5601,0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Казанбасского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4755,0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Новоселовского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Новонежинского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Москалевского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Сулукольского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Черниговского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Косагал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Кушмурун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Диевского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3682,0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34258,3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34258,3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34258,3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9509,0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Аулиеколь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7817,0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Аманкарагайского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Новонежинского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Кушмурун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6116,3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Аманкарагайского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996,8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Диевского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312,5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Казанбасского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Косагал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Кушмурун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Москалевского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Новонежинского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Новоселовского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Сулукольского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Тимофеевка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имени К. Тургумбаева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Черниговского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Первомайское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Коктал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Аулиеколь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18473,0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Аулиеколь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16473,0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Аманкарагайского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Кушмурун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13266,0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13266,0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13266,0</w:t>
            </w:r>
          </w:p>
        </w:tc>
      </w:tr>
      <w:tr>
        <w:trPr>
          <w:trHeight w:val="8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13266,0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Аулиеколь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Аманкарагайского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Кушмурун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21447,9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21447,9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21447,9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21447,9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Новонежинского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Диевского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Аулиеколь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12259,0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Аманкарагайского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