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53dd" w14:textId="62d5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Сырдарьинского района Кызылординской области от 20 ноября 2013 года № 489. Зарегистрировано Департаментом юстиции Кызылординской области 6 декабря 2013 года № 4549. Утратило силу постановлением акимата Сырдарьинского района Кызылординской области от 20 июля 2015 года № 234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Сырдарьинского района Кызылординской области от 20.07.2015 </w:t>
      </w:r>
      <w:r>
        <w:rPr>
          <w:rFonts w:ascii="Times New Roman"/>
          <w:b w:val="false"/>
          <w:i w:val="false"/>
          <w:color w:val="ff0000"/>
          <w:sz w:val="28"/>
        </w:rPr>
        <w:t>№ 234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Сырдарьинского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Сырдарьинского района Нуртазаева С.</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Сырдарьинского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Лекеров Б.</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20 ноября 2013 года N 489</w:t>
            </w:r>
          </w:p>
        </w:tc>
      </w:tr>
    </w:tbl>
    <w:bookmarkStart w:name="z5" w:id="0"/>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(далее-аким), ответственных сотрудников государственного учреждения "Отдел ветеринарии Сырдарьинского района" (далее-отдел ветеринарии) и государственного учреждения "Отдел финансов Сырдарьинского района" (далее-отдел финансов). Акт приема-передачи утверждается руководителем отдела финансов.</w:t>
      </w:r>
      <w:r>
        <w:br/>
      </w:r>
      <w:r>
        <w:rPr>
          <w:rFonts w:ascii="Times New Roman"/>
          <w:b w:val="false"/>
          <w:i w:val="false"/>
          <w:color w:val="000000"/>
          <w:sz w:val="28"/>
        </w:rPr>
        <w:t>
      </w:t>
      </w:r>
      <w:r>
        <w:rPr>
          <w:rFonts w:ascii="Times New Roman"/>
          <w:b w:val="false"/>
          <w:i w:val="false"/>
          <w:color w:val="000000"/>
          <w:sz w:val="28"/>
        </w:rPr>
        <w:t xml:space="preserve">4. 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N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использования животных поступивших в районную коммунальную собственность</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w:t>
      </w:r>
      <w:r>
        <w:rPr>
          <w:rFonts w:ascii="Times New Roman"/>
          <w:b w:val="false"/>
          <w:i w:val="false"/>
          <w:color w:val="000000"/>
          <w:sz w:val="28"/>
        </w:rPr>
        <w:t>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отделом финансов.</w:t>
      </w:r>
      <w:r>
        <w:br/>
      </w:r>
      <w:r>
        <w:rPr>
          <w:rFonts w:ascii="Times New Roman"/>
          <w:b w:val="false"/>
          <w:i w:val="false"/>
          <w:color w:val="000000"/>
          <w:sz w:val="28"/>
        </w:rPr>
        <w:t>
      </w:t>
      </w:r>
      <w:r>
        <w:rPr>
          <w:rFonts w:ascii="Times New Roman"/>
          <w:b w:val="false"/>
          <w:i w:val="false"/>
          <w:color w:val="000000"/>
          <w:sz w:val="28"/>
        </w:rPr>
        <w:t>8. Расходы по содержанию животных компенсируются содержащему физическому или юридическому лицу отделом финансов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11. Животные, поступившие в районную коммунальную собственность, реализуются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возврата животных прежнему собственнику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района, а при недостижении согласия в судебном порядке.</w:t>
      </w:r>
      <w:r>
        <w:br/>
      </w:r>
      <w:r>
        <w:rPr>
          <w:rFonts w:ascii="Times New Roman"/>
          <w:b w:val="false"/>
          <w:i w:val="false"/>
          <w:color w:val="000000"/>
          <w:sz w:val="28"/>
        </w:rPr>
        <w:t>
      </w:t>
      </w:r>
      <w:r>
        <w:rPr>
          <w:rFonts w:ascii="Times New Roman"/>
          <w:b w:val="false"/>
          <w:i w:val="false"/>
          <w:color w:val="000000"/>
          <w:sz w:val="28"/>
        </w:rPr>
        <w:t>13.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пользованием животных.</w:t>
      </w:r>
      <w:r>
        <w:br/>
      </w:r>
      <w:r>
        <w:rPr>
          <w:rFonts w:ascii="Times New Roman"/>
          <w:b w:val="false"/>
          <w:i w:val="false"/>
          <w:color w:val="000000"/>
          <w:sz w:val="28"/>
        </w:rPr>
        <w:t>
      </w:t>
      </w:r>
      <w:r>
        <w:rPr>
          <w:rFonts w:ascii="Times New Roman"/>
          <w:b w:val="false"/>
          <w:i w:val="false"/>
          <w:color w:val="000000"/>
          <w:sz w:val="28"/>
        </w:rPr>
        <w:t>15. Возврат животных или возмещение стоимости оформляется договором, заключаемым между прежним собственником и отделом финансов.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