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582" w14:textId="cd5d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9 января 2013 года N 01/04. Зарегистрировано Департаментом юстиции Карагандинской области 20 февраля 2013 года N 2174.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района                                А. Омаров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9 января 2013 года N 01/04</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Регламент) используются следующие основные понятия:</w:t>
      </w:r>
      <w:r>
        <w:br/>
      </w:r>
      <w:r>
        <w:rPr>
          <w:rFonts w:ascii="Times New Roman"/>
          <w:b w:val="false"/>
          <w:i w:val="false"/>
          <w:color w:val="000000"/>
          <w:sz w:val="28"/>
        </w:rPr>
        <w:t>
      1) центр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3) уполномоченный орган - государственное учреждение "Отдел занятости и социальных программ Улытауского района".</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 административная процедура, осуществляемая уполномоченным органом для предоставления специальных социальных услуг нуждающимся в условиях на дому.</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социальное обслуживание на дому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 (71035) 21212, факс: 8 (71035) 21207, адрес электронной почты: ulytau_sobes@mail.ru.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(71035) 21624, факс: 8 (71035) 21306, адрес электронной почты: renat_ulytau@mail.ru.</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Улытауского района" http://www. ulytau-akimat.kz,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w:t>
      </w:r>
      <w:r>
        <w:br/>
      </w:r>
      <w:r>
        <w:rPr>
          <w:rFonts w:ascii="Times New Roman"/>
          <w:b w:val="false"/>
          <w:i w:val="false"/>
          <w:color w:val="000000"/>
          <w:sz w:val="28"/>
        </w:rPr>
        <w:t>
      в уполномоченном органе – в течение 14 рабочих дней;</w:t>
      </w:r>
      <w:r>
        <w:br/>
      </w:r>
      <w:r>
        <w:rPr>
          <w:rFonts w:ascii="Times New Roman"/>
          <w:b w:val="false"/>
          <w:i w:val="false"/>
          <w:color w:val="000000"/>
          <w:sz w:val="28"/>
        </w:rPr>
        <w:t>
      в центре – в течение 14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Потребитель подает заявление в государственное учреждение "Отдел занятости и социальных программ Улытауского района":</w:t>
      </w:r>
      <w:r>
        <w:br/>
      </w:r>
      <w:r>
        <w:rPr>
          <w:rFonts w:ascii="Times New Roman"/>
          <w:b w:val="false"/>
          <w:i w:val="false"/>
          <w:color w:val="000000"/>
          <w:sz w:val="28"/>
        </w:rPr>
        <w:t>
      1) ответственный исполнитель уполномоченного органа принимает документы, регистрирует заявление в журнале, выдает талон потребителю;</w:t>
      </w:r>
      <w:r>
        <w:br/>
      </w:r>
      <w:r>
        <w:rPr>
          <w:rFonts w:ascii="Times New Roman"/>
          <w:b w:val="false"/>
          <w:i w:val="false"/>
          <w:color w:val="000000"/>
          <w:sz w:val="28"/>
        </w:rPr>
        <w:t>
      2)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3)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4)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5) ответственный исполнитель уполномоченного органа регистрирует уведомление либо мотивированный ответ об отказе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1) инспектор операционного зала принимает документы, регистрирует заявление и выдает потребителю расписку;</w:t>
      </w:r>
      <w:r>
        <w:br/>
      </w:r>
      <w:r>
        <w:rPr>
          <w:rFonts w:ascii="Times New Roman"/>
          <w:b w:val="false"/>
          <w:i w:val="false"/>
          <w:color w:val="000000"/>
          <w:sz w:val="28"/>
        </w:rPr>
        <w:t>
      2) специалист накопительного сектора центра формирует реестр и передает документы в уполномоченный орган;</w:t>
      </w:r>
      <w:r>
        <w:br/>
      </w:r>
      <w:r>
        <w:rPr>
          <w:rFonts w:ascii="Times New Roman"/>
          <w:b w:val="false"/>
          <w:i w:val="false"/>
          <w:color w:val="000000"/>
          <w:sz w:val="28"/>
        </w:rPr>
        <w:t>
      3) ответственный исполнитель уполномоченного органа принимает по реестру документы, регистрирует заявление в журнале;</w:t>
      </w:r>
      <w:r>
        <w:br/>
      </w:r>
      <w:r>
        <w:rPr>
          <w:rFonts w:ascii="Times New Roman"/>
          <w:b w:val="false"/>
          <w:i w:val="false"/>
          <w:color w:val="000000"/>
          <w:sz w:val="28"/>
        </w:rPr>
        <w:t>
      4)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5)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6)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7) ответственный исполнитель уполномоченного органа регистрирует уведомление либо мотивированный ответ об отказе;</w:t>
      </w:r>
      <w:r>
        <w:br/>
      </w:r>
      <w:r>
        <w:rPr>
          <w:rFonts w:ascii="Times New Roman"/>
          <w:b w:val="false"/>
          <w:i w:val="false"/>
          <w:color w:val="000000"/>
          <w:sz w:val="28"/>
        </w:rPr>
        <w:t>
      8) специалист накопительного сектора центра принимает по реестру уведомление либо мотивированный ответ об отказе;</w:t>
      </w:r>
      <w:r>
        <w:br/>
      </w:r>
      <w:r>
        <w:rPr>
          <w:rFonts w:ascii="Times New Roman"/>
          <w:b w:val="false"/>
          <w:i w:val="false"/>
          <w:color w:val="000000"/>
          <w:sz w:val="28"/>
        </w:rPr>
        <w:t>
      9) инспектор сектора выдачи документов центра регистрирует и выдает потребителю уведомление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(СФЕ 2);</w:t>
      </w:r>
      <w:r>
        <w:br/>
      </w:r>
      <w:r>
        <w:rPr>
          <w:rFonts w:ascii="Times New Roman"/>
          <w:b w:val="false"/>
          <w:i w:val="false"/>
          <w:color w:val="000000"/>
          <w:sz w:val="28"/>
        </w:rPr>
        <w:t>
      3) инспектор операционного зала центра (СФЕ 3);</w:t>
      </w:r>
      <w:r>
        <w:br/>
      </w:r>
      <w:r>
        <w:rPr>
          <w:rFonts w:ascii="Times New Roman"/>
          <w:b w:val="false"/>
          <w:i w:val="false"/>
          <w:color w:val="000000"/>
          <w:sz w:val="28"/>
        </w:rPr>
        <w:t>
      4) специалист накопительного сектора центра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7"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8" w:id="12"/>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предусмотренным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13"/>
    <w:bookmarkStart w:name="z30" w:id="14"/>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561"/>
        <w:gridCol w:w="3609"/>
        <w:gridCol w:w="4182"/>
      </w:tblGrid>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 журнале и выдает потребителю талон</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документов</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Проверяет документы, формирует макет дела и подготавливает уведомление либо мотивированный ответ об отказе</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10 рабочих дней</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Регистрирует уведомление либо мотивированный ответ об отказе и выдает потребителю</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bl>
    <w:bookmarkStart w:name="z31" w:id="15"/>
    <w:p>
      <w:pPr>
        <w:spacing w:after="0"/>
        <w:ind w:left="0"/>
        <w:jc w:val="left"/>
      </w:pPr>
      <w:r>
        <w:rPr>
          <w:rFonts w:ascii="Times New Roman"/>
          <w:b/>
          <w:i w:val="false"/>
          <w:color w:val="000000"/>
        </w:rPr>
        <w:t xml:space="preserve"> 
Таблица 1. Описание действий структурно-функциональных единиц (альтернативный процесс, вариант 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271"/>
        <w:gridCol w:w="2424"/>
        <w:gridCol w:w="2381"/>
        <w:gridCol w:w="2206"/>
        <w:gridCol w:w="2206"/>
        <w:gridCol w:w="2228"/>
      </w:tblGrid>
      <w:tr>
        <w:trPr>
          <w:trHeight w:val="142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489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и передает документы в уполномоченный орган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5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Налагает резолюцию и определяет ответственного исполнителя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Формирует реестр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Принимает уведомление либо мотивированный ответ об отказе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Регистрирует и выдает потребителю уведомление либо мотивированный ответ об отказе </w:t>
            </w:r>
          </w:p>
        </w:tc>
      </w:tr>
      <w:tr>
        <w:trPr>
          <w:trHeight w:val="162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2685"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bookmarkStart w:name="z32" w:id="16"/>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8451"/>
      </w:tblGrid>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Прием документов, регистрация заявления в журнале, выдача потребителю талона</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Наложение резолюции и определение ответственного исполнителя</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Проверка документов, формирование макета дела и подготавливает уведомление либо мотивированный ответ об отказе</w:t>
            </w:r>
          </w:p>
        </w:tc>
      </w:tr>
      <w:tr>
        <w:trPr>
          <w:trHeight w:val="3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Подписание уведомления либо мотивированного ответа об отказе</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Выдача уведомления либо мотивированный ответ об отказе потребителю</w:t>
            </w:r>
          </w:p>
        </w:tc>
      </w:tr>
    </w:tbl>
    <w:bookmarkStart w:name="z33" w:id="17"/>
    <w:p>
      <w:pPr>
        <w:spacing w:after="0"/>
        <w:ind w:left="0"/>
        <w:jc w:val="left"/>
      </w:pPr>
      <w:r>
        <w:rPr>
          <w:rFonts w:ascii="Times New Roman"/>
          <w:b/>
          <w:i w:val="false"/>
          <w:color w:val="000000"/>
        </w:rPr>
        <w:t xml:space="preserve"> 
Таблица 2. Варианты использования (альтернативный процесс, вариант 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271"/>
        <w:gridCol w:w="2283"/>
        <w:gridCol w:w="2598"/>
        <w:gridCol w:w="3230"/>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Инспектор операционного зала центра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Специалист накопительного сектора центра</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r>
      <w:tr>
        <w:trPr>
          <w:trHeight w:val="121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Прием документов, регистрация в журнале, выдача потребителю расписку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Формирует реестр, передает документы в уполномоченный орган</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Прием документов по реестру из центра, регистрация заявления в журнале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Наложение резолюции и определение ответственного исполнителя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Проверка документов, формирование макета дела и подготовка уведомления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Подписание уведомления либо мотивированный ответа об отказе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Регистрация уведомления либо мотивированного ответа об отказе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Прием уведомления либо мотивированный ответ об отказе</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Выдача уведомления либо мотивированного ответа об отказе потребителю</w:t>
            </w:r>
          </w:p>
        </w:tc>
      </w:tr>
    </w:tbl>
    <w:bookmarkStart w:name="z34" w:id="1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18"/>
    <w:bookmarkStart w:name="z35" w:id="19"/>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19"/>
    <w:p>
      <w:pPr>
        <w:spacing w:after="0"/>
        <w:ind w:left="0"/>
        <w:jc w:val="both"/>
      </w:pPr>
      <w:r>
        <w:drawing>
          <wp:inline distT="0" distB="0" distL="0" distR="0">
            <wp:extent cx="7670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7607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