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ad66" w14:textId="046a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"Назначение государственных пособий семьям, имеющим детей до 18 лет"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Улытауского района Карагандинской области от 9 января 2013 года N 01/01. Зарегистрировано Департаментом юстиции Карагандинской области 20 февраля 2013 года N 2171. Утратило силу постановлением акимата Улытауского района Карагандинской области от 20 июня 2013 года N 16/05</w:t>
      </w:r>
    </w:p>
    <w:p>
      <w:pPr>
        <w:spacing w:after="0"/>
        <w:ind w:left="0"/>
        <w:jc w:val="both"/>
      </w:pPr>
      <w:r>
        <w:rPr>
          <w:rFonts w:ascii="Times New Roman"/>
          <w:b w:val="false"/>
          <w:i w:val="false"/>
          <w:color w:val="ff0000"/>
          <w:sz w:val="28"/>
        </w:rPr>
        <w:t>     Сноска. Утратило силу постановлением акимата Улытауского района Карагандинской области от 20.06.2013 N 16/05.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в целях качественного предоставления государственных услуг, акимат Улытауского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"Назначение государственных пособий семьям, имеющим детей до 18 лет".</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Акышбекова Берика Базыловича.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Аким района                                А. Омаров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Улытауского района</w:t>
      </w:r>
      <w:r>
        <w:br/>
      </w:r>
      <w:r>
        <w:rPr>
          <w:rFonts w:ascii="Times New Roman"/>
          <w:b w:val="false"/>
          <w:i w:val="false"/>
          <w:color w:val="000000"/>
          <w:sz w:val="28"/>
        </w:rPr>
        <w:t>
от 9 января 2013 года N 01/01</w:t>
      </w:r>
    </w:p>
    <w:bookmarkEnd w:id="1"/>
    <w:bookmarkStart w:name="z6" w:id="2"/>
    <w:p>
      <w:pPr>
        <w:spacing w:after="0"/>
        <w:ind w:left="0"/>
        <w:jc w:val="left"/>
      </w:pPr>
      <w:r>
        <w:rPr>
          <w:rFonts w:ascii="Times New Roman"/>
          <w:b/>
          <w:i w:val="false"/>
          <w:color w:val="000000"/>
        </w:rPr>
        <w:t xml:space="preserve"> 
Регламент оказания государственной услуги "Назначение государственных пособий семьям, имеющим детей до 18 лет"</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государственных пособий семьям, имеющим детей до 18 лет"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государственное пособие семьям, имеющим детей до 18 лет (далее – пособие на детей) – выплата в денежной форме, предоставляемая государством семьям, имеющим детей до 18 лет, со среднедушевым доходом ниже стоимости продовольственной корзины, установленной в области;</w:t>
      </w:r>
      <w:r>
        <w:br/>
      </w:r>
      <w:r>
        <w:rPr>
          <w:rFonts w:ascii="Times New Roman"/>
          <w:b w:val="false"/>
          <w:i w:val="false"/>
          <w:color w:val="000000"/>
          <w:sz w:val="28"/>
        </w:rPr>
        <w:t>
      3) уполномоченный орган по назначению и выплате государственных пособий семьям, имеющим детей до 18 лет – государственное учреждение "Отдел занятости и социальных программ Улытауского района" (далее – уполномоченный орган);</w:t>
      </w:r>
      <w:r>
        <w:br/>
      </w:r>
      <w:r>
        <w:rPr>
          <w:rFonts w:ascii="Times New Roman"/>
          <w:b w:val="false"/>
          <w:i w:val="false"/>
          <w:color w:val="000000"/>
          <w:sz w:val="28"/>
        </w:rPr>
        <w:t>
      4) среднедушевой доход – доля совокупного дохода семьи, приходящегося на каждого члена семьи в месяц;</w:t>
      </w:r>
      <w:r>
        <w:br/>
      </w:r>
      <w:r>
        <w:rPr>
          <w:rFonts w:ascii="Times New Roman"/>
          <w:b w:val="false"/>
          <w:i w:val="false"/>
          <w:color w:val="000000"/>
          <w:sz w:val="28"/>
        </w:rPr>
        <w:t>
      5) потребитель – физические лица: граждане Республики Казахстан, постоянно проживающие на территории Улытауского района, и оралманы, имеющие детей до 18 лет, среднедушевой доход семьи которых ниже стоимости продовольственной корзины;</w:t>
      </w:r>
      <w:r>
        <w:br/>
      </w:r>
      <w:r>
        <w:rPr>
          <w:rFonts w:ascii="Times New Roman"/>
          <w:b w:val="false"/>
          <w:i w:val="false"/>
          <w:color w:val="000000"/>
          <w:sz w:val="28"/>
        </w:rPr>
        <w:t>
      6) центр обслуживания населения –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Государственная услуга "Назначение государственных пособий семьям, имеющим детей до 18 лет" - административная процедура, осуществляемая уполномоченным органом в целях оказания помощи в денежной форме семьям, имеющим детей до 18 лет, со среднедушевым доходом ниже стоимости продовольственной корзины.</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обслуживания населения (на альтернативной основе).</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оказывается в соответствии с пунктом 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28 июня 2005 года "О государственных пособиях семьям, имеющим детей" и </w:t>
      </w:r>
      <w:r>
        <w:rPr>
          <w:rFonts w:ascii="Times New Roman"/>
          <w:b w:val="false"/>
          <w:i w:val="false"/>
          <w:color w:val="000000"/>
          <w:sz w:val="28"/>
        </w:rPr>
        <w:t>главой 2</w:t>
      </w:r>
      <w:r>
        <w:rPr>
          <w:rFonts w:ascii="Times New Roman"/>
          <w:b w:val="false"/>
          <w:i w:val="false"/>
          <w:color w:val="000000"/>
          <w:sz w:val="28"/>
        </w:rPr>
        <w:t xml:space="preserve">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N 1092 "О некоторых мерах по реализации Закона Республики Казахстан "О государственных пособиях семьям, имеющим детей",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 назначении пособия на детей (далее – уведомление) либо мотивированный ответ об отказе в предоставлении услуги на бумажном носителе.</w:t>
      </w:r>
    </w:p>
    <w:bookmarkEnd w:id="6"/>
    <w:bookmarkStart w:name="z15"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6" w:id="8"/>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101500, Карагандинская область, Улытауский район, село Улытау, улица Абая 23, государственное учреждение "Отдел занятости и социальных программ Улытауского района", телефон: 8 (71035) 21212, факс: 8 (71035) 21207, адрес электронной почты: ulytau_sobes@mail.ru.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Центр, адрес: 101500, Карагандинская область, Улытауский район, село Улытау, улица Амангелды 29а, "Отдел Улытауского района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(71035) 21624, факс: 8 (71035) 21306, адрес электронной почты: renat_ulytau@mail.ru.</w:t>
      </w:r>
      <w:r>
        <w:br/>
      </w:r>
      <w:r>
        <w:rPr>
          <w:rFonts w:ascii="Times New Roman"/>
          <w:b w:val="false"/>
          <w:i w:val="false"/>
          <w:color w:val="000000"/>
          <w:sz w:val="28"/>
        </w:rPr>
        <w:t>
      График работы: ежедневно с 9.00 часов до 20.00 часов без перерыва, а в филиалах и представительствах центра - ежедневно с 9.00 часов до 19.00 часов, с обеденным перерывом с 13.00 до 14.00 часов, кроме выходных (суббота, воскресение)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Улытауского района" http://www.ulytau-akimat.kz, на стендах уполномоченного органа, центра,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десяти рабочих дней;</w:t>
      </w:r>
      <w:r>
        <w:br/>
      </w:r>
      <w:r>
        <w:rPr>
          <w:rFonts w:ascii="Times New Roman"/>
          <w:b w:val="false"/>
          <w:i w:val="false"/>
          <w:color w:val="000000"/>
          <w:sz w:val="28"/>
        </w:rPr>
        <w:t>
      акиму сельского округа по месту жительства - не более тридцати календарных дней;</w:t>
      </w:r>
      <w:r>
        <w:br/>
      </w:r>
      <w:r>
        <w:rPr>
          <w:rFonts w:ascii="Times New Roman"/>
          <w:b w:val="false"/>
          <w:i w:val="false"/>
          <w:color w:val="000000"/>
          <w:sz w:val="28"/>
        </w:rPr>
        <w:t>
      в центр - в течение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 у акима сельского округа и в центре - 30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у акима сельского округа и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w:t>
      </w:r>
      <w:r>
        <w:br/>
      </w:r>
      <w:r>
        <w:rPr>
          <w:rFonts w:ascii="Times New Roman"/>
          <w:b w:val="false"/>
          <w:i w:val="false"/>
          <w:color w:val="000000"/>
          <w:sz w:val="28"/>
        </w:rPr>
        <w:t>
      1) если в семье трудоспособные родители (усыновители и/или удочерители) ребенка не работают, не учатся по дневной форме обучения, не служат в армии и не зарегистрированы в качестве безработного в органах занятости, кроме случаев, когда отец или мать (усыновители и/или удочерители) заняты уходом за инвалидами первой, второй группы, детьми инвалидами, лицами старше восьмидесяти лет, ребенком до трех лет;</w:t>
      </w:r>
      <w:r>
        <w:br/>
      </w:r>
      <w:r>
        <w:rPr>
          <w:rFonts w:ascii="Times New Roman"/>
          <w:b w:val="false"/>
          <w:i w:val="false"/>
          <w:color w:val="000000"/>
          <w:sz w:val="28"/>
        </w:rPr>
        <w:t>
      2) в случае, когда среднедушевой доход семьи превышает установленный размер продовольственной корзины.</w:t>
      </w:r>
      <w:r>
        <w:br/>
      </w:r>
      <w:r>
        <w:rPr>
          <w:rFonts w:ascii="Times New Roman"/>
          <w:b w:val="false"/>
          <w:i w:val="false"/>
          <w:color w:val="000000"/>
          <w:sz w:val="28"/>
        </w:rPr>
        <w:t>
      Основаниями для прекращения предоставления государственной услуги являются:</w:t>
      </w:r>
      <w:r>
        <w:br/>
      </w:r>
      <w:r>
        <w:rPr>
          <w:rFonts w:ascii="Times New Roman"/>
          <w:b w:val="false"/>
          <w:i w:val="false"/>
          <w:color w:val="000000"/>
          <w:sz w:val="28"/>
        </w:rPr>
        <w:t>
      1) смерть ребенка;</w:t>
      </w:r>
      <w:r>
        <w:br/>
      </w:r>
      <w:r>
        <w:rPr>
          <w:rFonts w:ascii="Times New Roman"/>
          <w:b w:val="false"/>
          <w:i w:val="false"/>
          <w:color w:val="000000"/>
          <w:sz w:val="28"/>
        </w:rPr>
        <w:t>
      2) определение ребенка на полное государственное обеспечение;</w:t>
      </w:r>
      <w:r>
        <w:br/>
      </w:r>
      <w:r>
        <w:rPr>
          <w:rFonts w:ascii="Times New Roman"/>
          <w:b w:val="false"/>
          <w:i w:val="false"/>
          <w:color w:val="000000"/>
          <w:sz w:val="28"/>
        </w:rPr>
        <w:t>
      3) представление потребителем недостоверных сведений, повлекших за собой незаконное назначение пособия;</w:t>
      </w:r>
      <w:r>
        <w:br/>
      </w:r>
      <w:r>
        <w:rPr>
          <w:rFonts w:ascii="Times New Roman"/>
          <w:b w:val="false"/>
          <w:i w:val="false"/>
          <w:color w:val="000000"/>
          <w:sz w:val="28"/>
        </w:rPr>
        <w:t>
      4)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r>
        <w:br/>
      </w:r>
      <w:r>
        <w:rPr>
          <w:rFonts w:ascii="Times New Roman"/>
          <w:b w:val="false"/>
          <w:i w:val="false"/>
          <w:color w:val="000000"/>
          <w:sz w:val="28"/>
        </w:rPr>
        <w:t>
      При выявлении ошибок в оформлении документов, предоставления неполного пакета документов,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настоящего Регламента, и, ненадлежащего оформления документов,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центр или акиму сельского округа;</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или аким сельского округа проводит регистрацию заявления и передает документы в участковую комиссию;</w:t>
      </w:r>
      <w:r>
        <w:br/>
      </w:r>
      <w:r>
        <w:rPr>
          <w:rFonts w:ascii="Times New Roman"/>
          <w:b w:val="false"/>
          <w:i w:val="false"/>
          <w:color w:val="000000"/>
          <w:sz w:val="28"/>
        </w:rPr>
        <w:t>
      4) участковая комиссия проводит обследование материального положения потребителя (его семьи), составляет акт о материальном положении семьи по назначению и выплате пособий и представляет заключение о нуждаемости семьи (далее - заключение) в уполномоченный орган или акиму сельского округа;</w:t>
      </w:r>
      <w:r>
        <w:br/>
      </w:r>
      <w:r>
        <w:rPr>
          <w:rFonts w:ascii="Times New Roman"/>
          <w:b w:val="false"/>
          <w:i w:val="false"/>
          <w:color w:val="000000"/>
          <w:sz w:val="28"/>
        </w:rPr>
        <w:t>
      5) аким сельского округа передает документы потребителя и заключение в уполномоченный орган;</w:t>
      </w:r>
      <w:r>
        <w:br/>
      </w:r>
      <w:r>
        <w:rPr>
          <w:rFonts w:ascii="Times New Roman"/>
          <w:b w:val="false"/>
          <w:i w:val="false"/>
          <w:color w:val="000000"/>
          <w:sz w:val="28"/>
        </w:rPr>
        <w:t>
      6) уполномоченный орган регистрирует документы, рассматривает и принимает решение о назначении (отказе в назначении) пособия на детей, оформляет уведомление либо мотивированный ответ об отказе, направляет результат оказания государственной услуги акиму сельского округа, в центр;</w:t>
      </w:r>
      <w:r>
        <w:br/>
      </w:r>
      <w:r>
        <w:rPr>
          <w:rFonts w:ascii="Times New Roman"/>
          <w:b w:val="false"/>
          <w:i w:val="false"/>
          <w:color w:val="000000"/>
          <w:sz w:val="28"/>
        </w:rPr>
        <w:t>
      7) аким сельского округа или центр выдает потребителю уведомление либо мотивированный ответ об отказе.</w:t>
      </w:r>
    </w:p>
    <w:bookmarkEnd w:id="8"/>
    <w:bookmarkStart w:name="z21"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акима сельского округа и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или у акима сельского округа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на назначение пособия на детей установленного образца;</w:t>
      </w:r>
      <w:r>
        <w:br/>
      </w:r>
      <w:r>
        <w:rPr>
          <w:rFonts w:ascii="Times New Roman"/>
          <w:b w:val="false"/>
          <w:i w:val="false"/>
          <w:color w:val="000000"/>
          <w:sz w:val="28"/>
        </w:rPr>
        <w:t>
      2) копию (копии) свидетельства (свидетельств) о рождении ребенка (детей) либо копию (копии) записи (записей) акта (актов) о рождении;</w:t>
      </w:r>
      <w:r>
        <w:br/>
      </w:r>
      <w:r>
        <w:rPr>
          <w:rFonts w:ascii="Times New Roman"/>
          <w:b w:val="false"/>
          <w:i w:val="false"/>
          <w:color w:val="000000"/>
          <w:sz w:val="28"/>
        </w:rPr>
        <w:t>
      3) копию документа, удостоверяющего личность потребителя;</w:t>
      </w:r>
      <w:r>
        <w:br/>
      </w:r>
      <w:r>
        <w:rPr>
          <w:rFonts w:ascii="Times New Roman"/>
          <w:b w:val="false"/>
          <w:i w:val="false"/>
          <w:color w:val="000000"/>
          <w:sz w:val="28"/>
        </w:rPr>
        <w:t>
      4) копию документа, подтверждающего регистрацию по месту жительства семьи (копию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5) сведения о составе семьи установленного образца;</w:t>
      </w:r>
      <w:r>
        <w:br/>
      </w:r>
      <w:r>
        <w:rPr>
          <w:rFonts w:ascii="Times New Roman"/>
          <w:b w:val="false"/>
          <w:i w:val="false"/>
          <w:color w:val="000000"/>
          <w:sz w:val="28"/>
        </w:rPr>
        <w:t>
      6) сведения о доходах членов семьи установленного образца;</w:t>
      </w:r>
      <w:r>
        <w:br/>
      </w:r>
      <w:r>
        <w:rPr>
          <w:rFonts w:ascii="Times New Roman"/>
          <w:b w:val="false"/>
          <w:i w:val="false"/>
          <w:color w:val="000000"/>
          <w:sz w:val="28"/>
        </w:rPr>
        <w:t>
      7) усыновители (удочерители), опекуны (попечители) представляют выписку из решения соответствующего органа об усыновлении (удочерении) или установлении опеки (попечительства) над ребенком.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 Право на получение пособия на детей ежеквартально подтверждается представлением документов о доходах.</w:t>
      </w:r>
      <w:r>
        <w:br/>
      </w:r>
      <w:r>
        <w:rPr>
          <w:rFonts w:ascii="Times New Roman"/>
          <w:b w:val="false"/>
          <w:i w:val="false"/>
          <w:color w:val="000000"/>
          <w:sz w:val="28"/>
        </w:rPr>
        <w:t>
      В случае невозможности личного обращения одного из родителей, опекунов, попечителей с заявлением о назначении пособия родители, опекуны, попечители вправе уполномочить других лиц на обращение с заявлением о назначении пособия на основании доверенности, выданной в установленном порядке.</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4) участковая комиссия, созданная решением акима Улытауского района (далее – участковая комиссия) (СФЕ 4);</w:t>
      </w:r>
      <w:r>
        <w:br/>
      </w:r>
      <w:r>
        <w:rPr>
          <w:rFonts w:ascii="Times New Roman"/>
          <w:b w:val="false"/>
          <w:i w:val="false"/>
          <w:color w:val="000000"/>
          <w:sz w:val="28"/>
        </w:rPr>
        <w:t>
      5) аким поселка по месту жительства потребителя (далее – аким сельского округа) (СФЕ 5);</w:t>
      </w:r>
      <w:r>
        <w:br/>
      </w:r>
      <w:r>
        <w:rPr>
          <w:rFonts w:ascii="Times New Roman"/>
          <w:b w:val="false"/>
          <w:i w:val="false"/>
          <w:color w:val="000000"/>
          <w:sz w:val="28"/>
        </w:rPr>
        <w:t>
      6) участковая комиссия, созданная решением акима поселка по месту жительства потребителя (далее – участковая комиссия акима поселка) (СФЕ 6).</w:t>
      </w:r>
      <w:r>
        <w:br/>
      </w:r>
      <w:r>
        <w:rPr>
          <w:rFonts w:ascii="Times New Roman"/>
          <w:b w:val="false"/>
          <w:i w:val="false"/>
          <w:color w:val="000000"/>
          <w:sz w:val="28"/>
        </w:rPr>
        <w:t>
      В альтернативном процессе оказания услуги участвуют:</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4) участковая комиссия, созданная решением акима Улытауского района (далее – участковая комиссия) (СФЕ 4);</w:t>
      </w:r>
      <w:r>
        <w:br/>
      </w:r>
      <w:r>
        <w:rPr>
          <w:rFonts w:ascii="Times New Roman"/>
          <w:b w:val="false"/>
          <w:i w:val="false"/>
          <w:color w:val="000000"/>
          <w:sz w:val="28"/>
        </w:rPr>
        <w:t>
      5) аким сельского округа по месту жительства потребителя (далее – аким сельского округа) (СФЕ 5);</w:t>
      </w:r>
      <w:r>
        <w:br/>
      </w:r>
      <w:r>
        <w:rPr>
          <w:rFonts w:ascii="Times New Roman"/>
          <w:b w:val="false"/>
          <w:i w:val="false"/>
          <w:color w:val="000000"/>
          <w:sz w:val="28"/>
        </w:rPr>
        <w:t>
      6) участковая комиссия, созданная решением акима сельского округа по месту жительства потребителя (далее – участковая комиссия акима сельского округа) (СФЕ 6);</w:t>
      </w:r>
      <w:r>
        <w:br/>
      </w:r>
      <w:r>
        <w:rPr>
          <w:rFonts w:ascii="Times New Roman"/>
          <w:b w:val="false"/>
          <w:i w:val="false"/>
          <w:color w:val="000000"/>
          <w:sz w:val="28"/>
        </w:rPr>
        <w:t>
      7) инспектор сектора выдачи документов центра (СФЕ 7);</w:t>
      </w:r>
      <w:r>
        <w:br/>
      </w:r>
      <w:r>
        <w:rPr>
          <w:rFonts w:ascii="Times New Roman"/>
          <w:b w:val="false"/>
          <w:i w:val="false"/>
          <w:color w:val="000000"/>
          <w:sz w:val="28"/>
        </w:rPr>
        <w:t>
      8) инспектор накопительного сектора центра (СФЕ 8);</w:t>
      </w:r>
      <w:r>
        <w:br/>
      </w:r>
      <w:r>
        <w:rPr>
          <w:rFonts w:ascii="Times New Roman"/>
          <w:b w:val="false"/>
          <w:i w:val="false"/>
          <w:color w:val="000000"/>
          <w:sz w:val="28"/>
        </w:rPr>
        <w:t>
      9) инспектор центра (СФЕ 9).</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0"/>
    <w:bookmarkStart w:name="z27"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28" w:id="12"/>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29"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пособий семьям,</w:t>
      </w:r>
      <w:r>
        <w:br/>
      </w:r>
      <w:r>
        <w:rPr>
          <w:rFonts w:ascii="Times New Roman"/>
          <w:b w:val="false"/>
          <w:i w:val="false"/>
          <w:color w:val="000000"/>
          <w:sz w:val="28"/>
        </w:rPr>
        <w:t>
имеющим детей до 18 лет"</w:t>
      </w:r>
    </w:p>
    <w:bookmarkEnd w:id="13"/>
    <w:bookmarkStart w:name="z30" w:id="14"/>
    <w:p>
      <w:pPr>
        <w:spacing w:after="0"/>
        <w:ind w:left="0"/>
        <w:jc w:val="left"/>
      </w:pPr>
      <w:r>
        <w:rPr>
          <w:rFonts w:ascii="Times New Roman"/>
          <w:b/>
          <w:i w:val="false"/>
          <w:color w:val="000000"/>
        </w:rPr>
        <w:t xml:space="preserve"> 
Таблица 1. Описание действий структурно-функциональных единиц (основной процесс, вариант 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274"/>
        <w:gridCol w:w="2254"/>
        <w:gridCol w:w="2254"/>
        <w:gridCol w:w="3198"/>
        <w:gridCol w:w="3375"/>
      </w:tblGrid>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предоставление пособия на детей, выдает потребителю отрывной талон с указанием даты приема документов, готовит проект поручения участковой комиссии для обследования материального положения семьи потребителя</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заявителя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заявителя</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заключением участковой комиссии</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участковой комиссии</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уведомление о назначении либо мотивированный ответ об отказе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с утвержденным решением, подлежащим исполнению</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уведомление о назначении либо мотивированный ответ об отказе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5"/>
    <w:p>
      <w:pPr>
        <w:spacing w:after="0"/>
        <w:ind w:left="0"/>
        <w:jc w:val="left"/>
      </w:pPr>
      <w:r>
        <w:rPr>
          <w:rFonts w:ascii="Times New Roman"/>
          <w:b/>
          <w:i w:val="false"/>
          <w:color w:val="000000"/>
        </w:rPr>
        <w:t xml:space="preserve"> 
Описание действий структурно-функциональных единиц (основной процесс, вариант 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2274"/>
        <w:gridCol w:w="2254"/>
        <w:gridCol w:w="2274"/>
        <w:gridCol w:w="1721"/>
        <w:gridCol w:w="2910"/>
        <w:gridCol w:w="1938"/>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Аким поселка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поселка</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предоставление пособия на детей, выдает потребителю отрывной талон с указанием даты приема документов</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обследования материального положения семьи потребителя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оформленного макета дела потребителя специалисту сектора уполномоченного органа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заявление со всеми необходимыми документами и заключением участковой комиссии в уполномоченный орган</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пособия на детей</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 календарных дней с момента регистрации заявления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акима сельского округа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и заключением участковой комиссии и регистрирует в журнале учета заявлений на предоставление пособия на детей</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пособия на детей</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с утвержденным решением, подлежащим исполнению</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услуги о назначении пособия на детей либо мотивированный ответ об отказе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рабочих дня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6"/>
    <w:p>
      <w:pPr>
        <w:spacing w:after="0"/>
        <w:ind w:left="0"/>
        <w:jc w:val="left"/>
      </w:pPr>
      <w:r>
        <w:rPr>
          <w:rFonts w:ascii="Times New Roman"/>
          <w:b/>
          <w:i w:val="false"/>
          <w:color w:val="000000"/>
        </w:rPr>
        <w:t xml:space="preserve"> 
Описание действий структурно-функциональных единиц (альтернативный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290"/>
        <w:gridCol w:w="2692"/>
        <w:gridCol w:w="3167"/>
        <w:gridCol w:w="3277"/>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документов в уполномоченный орган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на назначение пособия на детей в уполномоченном органе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реестру принимает заявления со всеми необходимыми документами, регистрирует в журнале учета заявлений на назначение пособия на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заявлений в журнале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с утвержденным решением, подлежащим исполнению</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 назначении государственных пособия на детей либо мотивированный ответ об отказе и передает в центр</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уведомления либо мотивированного ответа об отказе из уполномоченного органа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4739"/>
        <w:gridCol w:w="2761"/>
        <w:gridCol w:w="259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25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Инспектор накопительного сектора центра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246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и выдает потребителю расписку</w:t>
            </w:r>
          </w:p>
        </w:tc>
      </w:tr>
      <w:tr>
        <w:trPr>
          <w:trHeight w:val="12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расписки</w:t>
            </w:r>
          </w:p>
        </w:tc>
      </w:tr>
      <w:tr>
        <w:trPr>
          <w:trHeight w:val="34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49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34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r>
      <w:tr>
        <w:trPr>
          <w:trHeight w:val="58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поручением проводит обследование материального положения семьи потребителя</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заключением участковой комиссии</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участковой комиссии</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либо мотивированный ответ об отказе и передает в сектор выдачи документов</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либо мотивированный ответ об отказе из накопительного отдела и вручает потребителю услуги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выдача уведомления либо мотивированного ответа об отказе</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7"/>
    <w:p>
      <w:pPr>
        <w:spacing w:after="0"/>
        <w:ind w:left="0"/>
        <w:jc w:val="left"/>
      </w:pPr>
      <w:r>
        <w:rPr>
          <w:rFonts w:ascii="Times New Roman"/>
          <w:b/>
          <w:i w:val="false"/>
          <w:color w:val="000000"/>
        </w:rPr>
        <w:t xml:space="preserve"> 
Таблица 2. Варианты использования. Основной процесс (вариант 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4189"/>
        <w:gridCol w:w="3229"/>
        <w:gridCol w:w="2937"/>
      </w:tblGrid>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106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Выдача поручения на проведение обследования</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 Проверка полноты и правильности оформления документов, визирование проекта решения</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Прием документов, регистрация, выдача регистрационного талона, подготовка проекта поручения для обследования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Обследование материального положения семьи потребителя</w:t>
            </w:r>
          </w:p>
        </w:tc>
      </w:tr>
      <w:tr>
        <w:trPr>
          <w:trHeight w:val="97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 Принятие решения о предоставлении государственной услуги (либо отказе в предоставлении услуги)</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Прием документов с актом обследования и заключением участковой комиссии</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Передача акта обследования и заключения участковой комиссии специалисту сектора уполномоченного органа</w:t>
            </w:r>
          </w:p>
        </w:tc>
      </w:tr>
      <w:tr>
        <w:trPr>
          <w:trHeight w:val="108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Расчет назначения пособия на детей и подготовка проекта решения о назначении или отказе в назначении пособия</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8"/>
    <w:p>
      <w:pPr>
        <w:spacing w:after="0"/>
        <w:ind w:left="0"/>
        <w:jc w:val="left"/>
      </w:pPr>
      <w:r>
        <w:rPr>
          <w:rFonts w:ascii="Times New Roman"/>
          <w:b/>
          <w:i w:val="false"/>
          <w:color w:val="000000"/>
        </w:rPr>
        <w:t xml:space="preserve"> 
Таблица 2. Варианты использования. Основной процесс (вариант 2)</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2177"/>
        <w:gridCol w:w="2471"/>
        <w:gridCol w:w="2922"/>
        <w:gridCol w:w="2295"/>
      </w:tblGrid>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r>
              <w:br/>
            </w:r>
            <w:r>
              <w:rPr>
                <w:rFonts w:ascii="Times New Roman"/>
                <w:b w:val="false"/>
                <w:i w:val="false"/>
                <w:color w:val="000000"/>
                <w:sz w:val="20"/>
              </w:rPr>
              <w:t>
</w:t>
            </w:r>
            <w:r>
              <w:rPr>
                <w:rFonts w:ascii="Times New Roman"/>
                <w:b w:val="false"/>
                <w:i w:val="false"/>
                <w:color w:val="000000"/>
                <w:sz w:val="20"/>
              </w:rPr>
              <w:t>Аким сельского округа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r>
              <w:br/>
            </w:r>
            <w:r>
              <w:rPr>
                <w:rFonts w:ascii="Times New Roman"/>
                <w:b w:val="false"/>
                <w:i w:val="false"/>
                <w:color w:val="000000"/>
                <w:sz w:val="20"/>
              </w:rPr>
              <w:t>
</w:t>
            </w:r>
            <w:r>
              <w:rPr>
                <w:rFonts w:ascii="Times New Roman"/>
                <w:b w:val="false"/>
                <w:i w:val="false"/>
                <w:color w:val="000000"/>
                <w:sz w:val="20"/>
              </w:rPr>
              <w:t>Участковая комиссия акима сельского округа</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 Принятие решения о предоставлении государственной услуги (либо отказе в предоставлении услуги)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 Проверка полноты и правильности оформления документов, визирование проекта решения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Прием документов с актом обследования и заключением участковой комиссии от акима поселка, регистрация</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Прием документов, регистрация, выдача регистрационного талона, подготовка проекта поручения для обследования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Обследование материального положения семьи потребителя</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 Расчет назначения пособия на детей и подготовка проекта решения о назначении или отказе в назначении пособия на детей</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Выдача поручения на проведение обследования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 Уведомление потребителя услуги о назначении пособия на детей либо мотивированный ответ об отказе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Передача документов с актом обследования и заключением участковой комиссии в уполномоченный орган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9"/>
    <w:p>
      <w:pPr>
        <w:spacing w:after="0"/>
        <w:ind w:left="0"/>
        <w:jc w:val="left"/>
      </w:pPr>
      <w:r>
        <w:rPr>
          <w:rFonts w:ascii="Times New Roman"/>
          <w:b/>
          <w:i w:val="false"/>
          <w:color w:val="000000"/>
        </w:rPr>
        <w:t xml:space="preserve"> 
Таблица 2. Варианты использования. Альтернативный процесс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3391"/>
        <w:gridCol w:w="2890"/>
        <w:gridCol w:w="5018"/>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r>
              <w:br/>
            </w:r>
            <w:r>
              <w:rPr>
                <w:rFonts w:ascii="Times New Roman"/>
                <w:b w:val="false"/>
                <w:i w:val="false"/>
                <w:color w:val="000000"/>
                <w:sz w:val="20"/>
              </w:rPr>
              <w:t>
</w:t>
            </w:r>
            <w:r>
              <w:rPr>
                <w:rFonts w:ascii="Times New Roman"/>
                <w:b w:val="false"/>
                <w:i w:val="false"/>
                <w:color w:val="000000"/>
                <w:sz w:val="20"/>
              </w:rPr>
              <w:t>Руководитель уполномоченного органа</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r>
              <w:br/>
            </w:r>
            <w:r>
              <w:rPr>
                <w:rFonts w:ascii="Times New Roman"/>
                <w:b w:val="false"/>
                <w:i w:val="false"/>
                <w:color w:val="000000"/>
                <w:sz w:val="20"/>
              </w:rPr>
              <w:t>
</w:t>
            </w:r>
            <w:r>
              <w:rPr>
                <w:rFonts w:ascii="Times New Roman"/>
                <w:b w:val="false"/>
                <w:i w:val="false"/>
                <w:color w:val="000000"/>
                <w:sz w:val="20"/>
              </w:rPr>
              <w:t>Заведующий сектором уполномоченного органа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r>
              <w:br/>
            </w:r>
            <w:r>
              <w:rPr>
                <w:rFonts w:ascii="Times New Roman"/>
                <w:b w:val="false"/>
                <w:i w:val="false"/>
                <w:color w:val="000000"/>
                <w:sz w:val="20"/>
              </w:rPr>
              <w:t>
</w:t>
            </w:r>
            <w:r>
              <w:rPr>
                <w:rFonts w:ascii="Times New Roman"/>
                <w:b w:val="false"/>
                <w:i w:val="false"/>
                <w:color w:val="000000"/>
                <w:sz w:val="20"/>
              </w:rPr>
              <w:t>Специалист сектора уполномоченного органа</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r>
              <w:br/>
            </w:r>
            <w:r>
              <w:rPr>
                <w:rFonts w:ascii="Times New Roman"/>
                <w:b w:val="false"/>
                <w:i w:val="false"/>
                <w:color w:val="000000"/>
                <w:sz w:val="20"/>
              </w:rPr>
              <w:t>
</w:t>
            </w:r>
            <w:r>
              <w:rPr>
                <w:rFonts w:ascii="Times New Roman"/>
                <w:b w:val="false"/>
                <w:i w:val="false"/>
                <w:color w:val="000000"/>
                <w:sz w:val="20"/>
              </w:rPr>
              <w:t>Участковая комиссия</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Выдача поручения на проведение обследования</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 Проверка полноты и правильности оформления документов, визирование проекта решения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Прием и регистрация документов из центра</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Обследование материального положения семьи потребителя</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 Принятие решения о предоставлении государственной услуги (либо отказе в предоставлении услуги)</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 Прием документов с актом обследования и заключением участковой комиссии</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 Передача акта обследования и заключения участковой комиссии специалисту</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 Расчет назначения пособия на детей и подготовка проекта решения о назначении или отказе в назначении пособия</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 Оформление уведомления о назначении пособия на детей либо мотивированного ответа об отказе и передача в центр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2"/>
        <w:gridCol w:w="5073"/>
        <w:gridCol w:w="4495"/>
      </w:tblGrid>
      <w:tr>
        <w:trPr>
          <w:trHeight w:val="25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r>
              <w:br/>
            </w:r>
            <w:r>
              <w:rPr>
                <w:rFonts w:ascii="Times New Roman"/>
                <w:b w:val="false"/>
                <w:i w:val="false"/>
                <w:color w:val="000000"/>
                <w:sz w:val="20"/>
              </w:rPr>
              <w:t>
</w:t>
            </w:r>
            <w:r>
              <w:rPr>
                <w:rFonts w:ascii="Times New Roman"/>
                <w:b w:val="false"/>
                <w:i w:val="false"/>
                <w:color w:val="000000"/>
                <w:sz w:val="20"/>
              </w:rPr>
              <w:t>Инспектор сектора выдачи документов центра</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r>
              <w:br/>
            </w:r>
            <w:r>
              <w:rPr>
                <w:rFonts w:ascii="Times New Roman"/>
                <w:b w:val="false"/>
                <w:i w:val="false"/>
                <w:color w:val="000000"/>
                <w:sz w:val="20"/>
              </w:rPr>
              <w:t>
</w:t>
            </w:r>
            <w:r>
              <w:rPr>
                <w:rFonts w:ascii="Times New Roman"/>
                <w:b w:val="false"/>
                <w:i w:val="false"/>
                <w:color w:val="000000"/>
                <w:sz w:val="20"/>
              </w:rPr>
              <w:t>Инспектор накопительного сектора центра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r>
              <w:br/>
            </w:r>
            <w:r>
              <w:rPr>
                <w:rFonts w:ascii="Times New Roman"/>
                <w:b w:val="false"/>
                <w:i w:val="false"/>
                <w:color w:val="000000"/>
                <w:sz w:val="20"/>
              </w:rPr>
              <w:t>
</w:t>
            </w:r>
            <w:r>
              <w:rPr>
                <w:rFonts w:ascii="Times New Roman"/>
                <w:b w:val="false"/>
                <w:i w:val="false"/>
                <w:color w:val="000000"/>
                <w:sz w:val="20"/>
              </w:rPr>
              <w:t>Инспектор центра</w:t>
            </w:r>
          </w:p>
        </w:tc>
      </w:tr>
      <w:tr>
        <w:trPr>
          <w:trHeight w:val="51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12</w:t>
            </w:r>
            <w:r>
              <w:br/>
            </w:r>
            <w:r>
              <w:rPr>
                <w:rFonts w:ascii="Times New Roman"/>
                <w:b w:val="false"/>
                <w:i w:val="false"/>
                <w:color w:val="000000"/>
                <w:sz w:val="20"/>
              </w:rPr>
              <w:t>
</w:t>
            </w:r>
            <w:r>
              <w:rPr>
                <w:rFonts w:ascii="Times New Roman"/>
                <w:b w:val="false"/>
                <w:i w:val="false"/>
                <w:color w:val="000000"/>
                <w:sz w:val="20"/>
              </w:rPr>
              <w:t>Прием уведомления либо мотивированного ответа об отказе из накопительного сектора и вручение потребителю услуги</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r>
              <w:br/>
            </w:r>
            <w:r>
              <w:rPr>
                <w:rFonts w:ascii="Times New Roman"/>
                <w:b w:val="false"/>
                <w:i w:val="false"/>
                <w:color w:val="000000"/>
                <w:sz w:val="20"/>
              </w:rPr>
              <w:t>
</w:t>
            </w:r>
            <w:r>
              <w:rPr>
                <w:rFonts w:ascii="Times New Roman"/>
                <w:b w:val="false"/>
                <w:i w:val="false"/>
                <w:color w:val="000000"/>
                <w:sz w:val="20"/>
              </w:rPr>
              <w:t>Прием документов, регистрация, выдача расписки</w:t>
            </w:r>
          </w:p>
        </w:tc>
      </w:tr>
      <w:tr>
        <w:trPr>
          <w:trHeight w:val="51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11</w:t>
            </w:r>
            <w:r>
              <w:br/>
            </w:r>
            <w:r>
              <w:rPr>
                <w:rFonts w:ascii="Times New Roman"/>
                <w:b w:val="false"/>
                <w:i w:val="false"/>
                <w:color w:val="000000"/>
                <w:sz w:val="20"/>
              </w:rPr>
              <w:t>
</w:t>
            </w:r>
            <w:r>
              <w:rPr>
                <w:rFonts w:ascii="Times New Roman"/>
                <w:b w:val="false"/>
                <w:i w:val="false"/>
                <w:color w:val="000000"/>
                <w:sz w:val="20"/>
              </w:rPr>
              <w:t>Прием уведомления либо мотивированного ответа об отказе и передача в сектор выдачи документов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r>
              <w:br/>
            </w:r>
            <w:r>
              <w:rPr>
                <w:rFonts w:ascii="Times New Roman"/>
                <w:b w:val="false"/>
                <w:i w:val="false"/>
                <w:color w:val="000000"/>
                <w:sz w:val="20"/>
              </w:rPr>
              <w:t>
</w:t>
            </w:r>
            <w:r>
              <w:rPr>
                <w:rFonts w:ascii="Times New Roman"/>
                <w:b w:val="false"/>
                <w:i w:val="false"/>
                <w:color w:val="000000"/>
                <w:sz w:val="20"/>
              </w:rPr>
              <w:t>Передача документов в накопительный сектор центра</w:t>
            </w:r>
          </w:p>
        </w:tc>
      </w:tr>
      <w:tr>
        <w:trPr>
          <w:trHeight w:val="24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пособий семьям, имеющим</w:t>
      </w:r>
      <w:r>
        <w:br/>
      </w:r>
      <w:r>
        <w:rPr>
          <w:rFonts w:ascii="Times New Roman"/>
          <w:b w:val="false"/>
          <w:i w:val="false"/>
          <w:color w:val="000000"/>
          <w:sz w:val="28"/>
        </w:rPr>
        <w:t>
детей до 18 лет"</w:t>
      </w:r>
    </w:p>
    <w:bookmarkEnd w:id="20"/>
    <w:bookmarkStart w:name="z37" w:id="21"/>
    <w:p>
      <w:pPr>
        <w:spacing w:after="0"/>
        <w:ind w:left="0"/>
        <w:jc w:val="left"/>
      </w:pPr>
      <w:r>
        <w:rPr>
          <w:rFonts w:ascii="Times New Roman"/>
          <w:b/>
          <w:i w:val="false"/>
          <w:color w:val="000000"/>
        </w:rPr>
        <w:t xml:space="preserve"> 
Схемы функционального взаимодействия. Основной процесс оказания государственной услуги (вариант 1)</w:t>
      </w:r>
    </w:p>
    <w:bookmarkEnd w:id="21"/>
    <w:p>
      <w:pPr>
        <w:spacing w:after="0"/>
        <w:ind w:left="0"/>
        <w:jc w:val="both"/>
      </w:pPr>
      <w:r>
        <w:drawing>
          <wp:inline distT="0" distB="0" distL="0" distR="0">
            <wp:extent cx="88138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13800" cy="4635500"/>
                    </a:xfrm>
                    <a:prstGeom prst="rect">
                      <a:avLst/>
                    </a:prstGeom>
                  </pic:spPr>
                </pic:pic>
              </a:graphicData>
            </a:graphic>
          </wp:inline>
        </w:drawing>
      </w:r>
    </w:p>
    <w:bookmarkStart w:name="z38" w:id="22"/>
    <w:p>
      <w:pPr>
        <w:spacing w:after="0"/>
        <w:ind w:left="0"/>
        <w:jc w:val="left"/>
      </w:pPr>
      <w:r>
        <w:rPr>
          <w:rFonts w:ascii="Times New Roman"/>
          <w:b/>
          <w:i w:val="false"/>
          <w:color w:val="000000"/>
        </w:rPr>
        <w:t xml:space="preserve"> 
Основной процесс оказания государственной услуги (вариант 2)</w:t>
      </w:r>
    </w:p>
    <w:bookmarkEnd w:id="22"/>
    <w:p>
      <w:pPr>
        <w:spacing w:after="0"/>
        <w:ind w:left="0"/>
        <w:jc w:val="both"/>
      </w:pPr>
      <w:r>
        <w:drawing>
          <wp:inline distT="0" distB="0" distL="0" distR="0">
            <wp:extent cx="88138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13800" cy="5816600"/>
                    </a:xfrm>
                    <a:prstGeom prst="rect">
                      <a:avLst/>
                    </a:prstGeom>
                  </pic:spPr>
                </pic:pic>
              </a:graphicData>
            </a:graphic>
          </wp:inline>
        </w:drawing>
      </w:r>
    </w:p>
    <w:bookmarkStart w:name="z39" w:id="23"/>
    <w:p>
      <w:pPr>
        <w:spacing w:after="0"/>
        <w:ind w:left="0"/>
        <w:jc w:val="left"/>
      </w:pPr>
      <w:r>
        <w:rPr>
          <w:rFonts w:ascii="Times New Roman"/>
          <w:b/>
          <w:i w:val="false"/>
          <w:color w:val="000000"/>
        </w:rPr>
        <w:t xml:space="preserve"> 
Процесс оказания государственной услуги – альтернативный вариант</w:t>
      </w:r>
    </w:p>
    <w:bookmarkEnd w:id="23"/>
    <w:p>
      <w:pPr>
        <w:spacing w:after="0"/>
        <w:ind w:left="0"/>
        <w:jc w:val="both"/>
      </w:pPr>
      <w:r>
        <w:drawing>
          <wp:inline distT="0" distB="0" distL="0" distR="0">
            <wp:extent cx="87249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24900" cy="5664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