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12b0" w14:textId="686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Осакаровского районного маслихата Карагандинской области от 25 декабря 2013 года № 262. Зарегистрировано Департаментом юстиции Карагандинской области 23 января 2014 года № 2523.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Осакаровского районного маслихата Карагандинской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Торбаева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262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Осакаровского районного маслихата Карагандинской области от 27.07.2022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предельный размер – утвержденный максимальный размер социальной помощи;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памятные даты – события, имеющие общенародное историческое, духовное, культурное значение и оказавшие влияние на ход истории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 социальной помощи) в случае наступления трудной жизненной ситуации, а также праздничным дням.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 следующим категориям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Столицы – 6 июля: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–30 августа: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достигшим семидесяти лет и старше;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– единовременно в размере – 10 (десять) месячных расчетных показателей;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шести месяцев с момента возникновения данной ситуации одному из собственников жилья (жилища), без учета среднедушевого дохода – единовременно в размере – 200 (двести) месячных расчетных показателей;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единовременно в размере 3 (трех)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синдром приобретенного иммунного дефицита выплачивается единовременно без учета среднедушевого дохода в размере 9 (девять) месячных расчетных показателя;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хронической почечной недостаточностью, находящихся на хронодиализе, выплачивается единовременно без учета среднедушевого дохода в размере 15 (пятнадцать) месячных расчетных показателя;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размере 2 (двух) кратном размере величины прожиточного минимума установленного на соответствующий финансовый год законом о республиканском бюджете;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родительские взносы в размере 50% один раз в полугодие многодетным семьям, имеющим детей, воспитывающихся и обучающихся в дошкольных организациях образования Осакаровского района;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санатарно-курортного лечения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решением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местным бюджетом Осакаровского района на текущий финансовый год.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возрату в добровольном или ином установленном законодательством Республики Казахстан порядке.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Порядок обжалования решений, действий (бездействия) услугодателя и (или) его должностных лиц по вопросам оказания государственной услуги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утвержденных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№22394).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решением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