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ee6e" w14:textId="449e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18 января 2013 года N 01/02. Зарегистрировано Департаментом юстиции Карагандинской области 20 февраля 2013 года N 2178. Утратило силу постановлением акимата города Сатпаев Карагандинской области от 27 мая 2013 года N 12/24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"Назначение жилищной помощи" (далее - регламент) определяет процедуру назначения жилищной помощи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Сатпаев" (далее - уполномоченный орган), а также через центры обслуживания населения: 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города Сатпаев, утвержденных решением Сатпаевского городского маслихата от 21 февраля 2012 года N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N 8-6-136).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09.00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получателя государственной услуги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получателю государственной услуги,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получателю государственной услуги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-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-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-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</w:t>
      </w:r>
      <w:r>
        <w:br/>
      </w:r>
      <w:r>
        <w:rPr>
          <w:rFonts w:ascii="Times New Roman"/>
          <w:b/>
          <w:i w:val="false"/>
          <w:color w:val="000000"/>
        </w:rPr>
        <w:t>
органа и центров обслуживания населения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жилищной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0"/>
        <w:gridCol w:w="4000"/>
        <w:gridCol w:w="2080"/>
      </w:tblGrid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центров, осуществляющих функции по оказанию государственной услуги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32419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f15satpaevcon@mail.ru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40349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3454"/>
        <w:gridCol w:w="3517"/>
        <w:gridCol w:w="3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государственной услуги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75"/>
        <w:gridCol w:w="4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52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3496"/>
        <w:gridCol w:w="3392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 (при выявлении ошибок в оформлении документов, следующие действия с N 3.1 по N 6.1)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7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обоснования причин возврата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руководителю уполномоченного органа письменного обоснования причин возврата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4654"/>
        <w:gridCol w:w="46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обоснования причин возврата и документов в центр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обоснования причин возврата и документов потребителю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2796"/>
        <w:gridCol w:w="2818"/>
        <w:gridCol w:w="2776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2085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8199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048500" cy="1050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