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19cb" w14:textId="1a3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2013 года N 47/01. Зарегистрировано Департаментом юстиции Карагандинской области 29 августа 2013 года N 2382. Утратило силу постановлением акимата Карагандинской области от 9 сентября 2014 года № 46/02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09.09.2014 </w:t>
      </w:r>
      <w:r>
        <w:rPr>
          <w:rFonts w:ascii="Times New Roman"/>
          <w:b w:val="false"/>
          <w:i w:val="false"/>
          <w:color w:val="ff0000"/>
          <w:sz w:val="28"/>
        </w:rPr>
        <w:t>№ 46/02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Карагандинской области от 27 июня 2013 года N 41/03 "Об утверждении регламента электронной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2013 года N 47/01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
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
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комплекса, в составе которого находились лом и (или)</w:t>
      </w:r>
      <w:r>
        <w:br/>
      </w:r>
      <w:r>
        <w:rPr>
          <w:rFonts w:ascii="Times New Roman"/>
          <w:b/>
          <w:i w:val="false"/>
          <w:color w:val="000000"/>
        </w:rPr>
        <w:t>
отходы цветных и (или) черных металлов, лицензиатам"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государственное учреждение "Управление предпринимательства и промышленности Карагандинской области" (далее – услугодатель), а также через веб-портал "электронного правительства" www.egov.kz (далее - ПЭП) или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металлов", утвержденного постановлением Правительства Республики Казахстан от 31 августа 2012 года N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или лицензиата за получением лицензии и (или) приложения к лицензии на бумажном носителе лицензия и (или) приложение к лицензии оформляются в электронном формате, распечатываются и заверяются печатью и подписью руководителя органа-лицензиара.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выдать лицензию и (или) приложение к лицензии в электронном формате, лицензия и (или) приложение к лицензии выдаются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"Е-лицензирование"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- юридическое лицо, которому государственная услуга оказывается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"электронного правительства"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 в ИС ГБД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услуги (электронная лицензия, переоформление, выдача дубликатов лицензии, мотивированный ответ об отказе в предоставлении услуги),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в ГБД ЮЛ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саll-центра: (1414).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в соответствии с их описаниями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Шаблон электронной государственной лицензии и приложения к лицензии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услугополучателям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услугополучателя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Электронная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частично автоматизированная и не обслуживается через центр обслуживания населения.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образовавшихся у юридических лиц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(или) черных металлов, лицензиатам"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через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209"/>
        <w:gridCol w:w="2318"/>
        <w:gridCol w:w="2538"/>
        <w:gridCol w:w="2538"/>
        <w:gridCol w:w="1924"/>
        <w:gridCol w:w="2189"/>
      </w:tblGrid>
      <w:tr>
        <w:trPr>
          <w:trHeight w:val="10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1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услугополучателя регистрационного свидетельства ЭЦП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33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18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авторизация прошла успешно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оплатил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257"/>
        <w:gridCol w:w="2300"/>
        <w:gridCol w:w="2497"/>
        <w:gridCol w:w="2475"/>
        <w:gridCol w:w="2148"/>
        <w:gridCol w:w="2041"/>
      </w:tblGrid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8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услугополучателя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документа, заявление (запроса услугополучателя) в ИС "Е-лицензирование" и обработка запроса в ИС "Е-лицензирование"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услугополучателя в ИС "Е-лицензирование"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5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ЭЦП без ошибки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услугополучателя квалификационным требованиям и основаниям для выдачи лицензии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через услугодателя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641"/>
        <w:gridCol w:w="2621"/>
        <w:gridCol w:w="2621"/>
        <w:gridCol w:w="2579"/>
        <w:gridCol w:w="2979"/>
      </w:tblGrid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услугополучателя в ГБД ЮЛ</w:t>
            </w:r>
          </w:p>
        </w:tc>
      </w:tr>
      <w:tr>
        <w:trPr>
          <w:trHeight w:val="18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21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641"/>
        <w:gridCol w:w="2642"/>
        <w:gridCol w:w="2642"/>
        <w:gridCol w:w="2642"/>
        <w:gridCol w:w="2832"/>
      </w:tblGrid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услугополучателя в ИС ГБД "Е-лицензирование"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8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если данные по запросу найдены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образовавшихся у юридических лиц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(или) черных металлов, лицензиатам"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 электронной государственной услуги через ПЭП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2423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 электронной государственной услуги через услугодателя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9248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образовавшихся у юридических лиц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(или) черных металлов, лицензиатам"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___ года      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лица/полностью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 случае наличия),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лицензируемого вида деятельности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лицензии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Закона Республики Казахстан "О лицензировании")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условия действия лицензии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Закона Республики Казахстан "О лицензировании")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(уполномоченное лицо)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 И. 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лицензии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лицензии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лицензируемого вида деятельности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Производственная база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юридического лица/полностью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 индивидуальный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выдачи ____________________________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образовавшихся у юридических лиц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(или) черных металлов, лицензиатам"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"качество" и "доступность"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