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1bdf" w14:textId="a391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21 августа 2013 года № 20-6. Зарегистрировано Департаментом юстиции Жамбылской области 4 сентября 2013 года № 2001. Утратило силу решением Кордайского районного маслихата Жамбылской области от 17 ноября 2014 года № 35-7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Кордайского районного маслихата Жамбылской области от 17.11.2014 </w:t>
      </w:r>
      <w:r>
        <w:rPr>
          <w:rFonts w:ascii="Times New Roman"/>
          <w:b w:val="false"/>
          <w:i w:val="false"/>
          <w:color w:val="ff0000"/>
          <w:sz w:val="28"/>
        </w:rPr>
        <w:t>№ 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в размере пятимесячного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решение Кордайского районного Маслихата от 2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пунктах" (зарегистрировано в Реестре государственной регистрации нормативных правовых актов за № 6-5-128, опубликовано 21 сентября 2011 года в районной газете "Кордайский маяк" № 146-147).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районного маслихата по вопросам экономики, финансов, бюджета, местного самоуправления, индустриально-инновационного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Ч. Токбергенова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