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fc8a" w14:textId="c8cfc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2014-2016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Жуалынского районного маслихата Жамбылской области от 26 декабря 2013 года № 24-3. Зарегистрировано Департаментом юстиции Жамбылской области 30 декабря 2013 года № 2096. Утратило силу решением Жуалынского районного маслихата от 1 июля 2015 года № 44-6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Жуалынского районного маслихата Жамбылской области от 01.07.2015 </w:t>
      </w:r>
      <w:r>
        <w:rPr>
          <w:rFonts w:ascii="Times New Roman"/>
          <w:b w:val="false"/>
          <w:i w:val="false"/>
          <w:color w:val="ff0000"/>
          <w:sz w:val="28"/>
        </w:rPr>
        <w:t>№ 44-6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Жуалынский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районный бюджет на 2014 – 2015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доходы – 6 361 176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– 779 205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– 93 590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9 914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– 5 478 467 тысяч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затраты – 6 388 710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чистое бюджетное кредитование – 47 199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55 560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8 361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дефицит (профицит) бюджета – -74 733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дефицита (использование профицита) бюджета – 74 733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57 123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займов – 8 361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27 534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решениями Жуалынского районного маслихата от 21.04.2014 </w:t>
      </w:r>
      <w:r>
        <w:rPr>
          <w:rFonts w:ascii="Times New Roman"/>
          <w:b w:val="false"/>
          <w:i w:val="false"/>
          <w:color w:val="ff0000"/>
          <w:sz w:val="28"/>
        </w:rPr>
        <w:t>№ 29-2;</w:t>
      </w:r>
      <w:r>
        <w:rPr>
          <w:rFonts w:ascii="Times New Roman"/>
          <w:b w:val="false"/>
          <w:i w:val="false"/>
          <w:color w:val="ff0000"/>
          <w:sz w:val="28"/>
        </w:rPr>
        <w:t xml:space="preserve"> 23.06.2014 </w:t>
      </w:r>
      <w:r>
        <w:rPr>
          <w:rFonts w:ascii="Times New Roman"/>
          <w:b w:val="false"/>
          <w:i w:val="false"/>
          <w:color w:val="ff0000"/>
          <w:sz w:val="28"/>
        </w:rPr>
        <w:t>№ 32-3</w:t>
      </w:r>
      <w:r>
        <w:rPr>
          <w:rFonts w:ascii="Times New Roman"/>
          <w:b w:val="false"/>
          <w:i w:val="false"/>
          <w:color w:val="ff0000"/>
          <w:sz w:val="28"/>
        </w:rPr>
        <w:t xml:space="preserve">; 29.08.2014 </w:t>
      </w:r>
      <w:r>
        <w:rPr>
          <w:rFonts w:ascii="Times New Roman"/>
          <w:b w:val="false"/>
          <w:i w:val="false"/>
          <w:color w:val="ff0000"/>
          <w:sz w:val="28"/>
        </w:rPr>
        <w:t>№ 35-2</w:t>
      </w:r>
      <w:r>
        <w:rPr>
          <w:rFonts w:ascii="Times New Roman"/>
          <w:b w:val="false"/>
          <w:i w:val="false"/>
          <w:color w:val="ff0000"/>
          <w:sz w:val="28"/>
        </w:rPr>
        <w:t xml:space="preserve">; 13.10.2014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; 17.11.2014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; 05.12.2014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 </w:t>
      </w:r>
      <w:r>
        <w:rPr>
          <w:rFonts w:ascii="Times New Roman"/>
          <w:b w:val="false"/>
          <w:i w:val="false"/>
          <w:color w:val="000000"/>
          <w:sz w:val="28"/>
        </w:rPr>
        <w:t>Установить на 2014-2016 годы норматив отчислений в областной бюджет по индивидуальному подоходному налогу и социальному налогу в размере 50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 </w:t>
      </w:r>
      <w:r>
        <w:rPr>
          <w:rFonts w:ascii="Times New Roman"/>
          <w:b w:val="false"/>
          <w:i w:val="false"/>
          <w:color w:val="000000"/>
          <w:sz w:val="28"/>
        </w:rPr>
        <w:t>Установить объем субвенции, передаваемых из областного бюджета в районный бюджет на 2014 год в сумме - 4 009 779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на 2014 год предусмотреть средства на выплату надбавки к заработной плате специалистам образования, социального обеспечения и культуры, финансируемых из районного бюджета, работающих в сельских населенных пунктах размере 25 процентов от оклада и тарифной ставки по сравнению со ставками специалистов, занимающихся этими видами деятельности в городских условиях.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районных бюджетных программ не подлежащих секвестру в процессе исполнения бюджета на 2014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перечень бюджетных программ каждого сельского округа на 2014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№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 </w:t>
      </w:r>
      <w:r>
        <w:rPr>
          <w:rFonts w:ascii="Times New Roman"/>
          <w:b w:val="false"/>
          <w:i w:val="false"/>
          <w:color w:val="000000"/>
          <w:sz w:val="28"/>
        </w:rPr>
        <w:t>Утвердить резерв районного местного исполнительного органа в сумме 5 407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7 с изменением, внесенным решением Жуалынского районного маслихата от 13.10.2014 </w:t>
      </w:r>
      <w:r>
        <w:rPr>
          <w:rFonts w:ascii="Times New Roman"/>
          <w:b w:val="false"/>
          <w:i w:val="false"/>
          <w:color w:val="ff0000"/>
          <w:sz w:val="28"/>
        </w:rPr>
        <w:t>№ 36-2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и публикацию на интернет-ресурсе данного решения возложить на постоянную комиссию районного маслихата по вопросам административно-территориальных структур, социально-экономическому развитию территорий, бюджета и местных налогов по защите прав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вступает в силу со дня государственной регистрации в органах юстиции и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Ж. Айтаков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Бурлибаев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3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решения Жуалынского районного маслихата от 05.12.2014 </w:t>
      </w:r>
      <w:r>
        <w:rPr>
          <w:rFonts w:ascii="Times New Roman"/>
          <w:b w:val="false"/>
          <w:i w:val="false"/>
          <w:color w:val="ff0000"/>
          <w:sz w:val="28"/>
        </w:rPr>
        <w:t>№ 38-3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6361176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6388710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4664238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690"/>
        <w:gridCol w:w="690"/>
        <w:gridCol w:w="5261"/>
        <w:gridCol w:w="496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"/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8"/>
        <w:gridCol w:w="2377"/>
        <w:gridCol w:w="1389"/>
        <w:gridCol w:w="1389"/>
        <w:gridCol w:w="575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внутренние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8"/>
        <w:gridCol w:w="2211"/>
        <w:gridCol w:w="2211"/>
        <w:gridCol w:w="2543"/>
        <w:gridCol w:w="377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"/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33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6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5047132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7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5942245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4492792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5613"/>
        <w:gridCol w:w="4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8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1"/>
        <w:gridCol w:w="1527"/>
        <w:gridCol w:w="1528"/>
        <w:gridCol w:w="1528"/>
        <w:gridCol w:w="533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2335"/>
        <w:gridCol w:w="2335"/>
        <w:gridCol w:w="2685"/>
        <w:gridCol w:w="3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9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5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"/>
        <w:gridCol w:w="864"/>
        <w:gridCol w:w="650"/>
        <w:gridCol w:w="7321"/>
        <w:gridCol w:w="281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1"/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доходов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2"/>
        <w:gridCol w:w="1237"/>
        <w:gridCol w:w="1238"/>
        <w:gridCol w:w="6111"/>
        <w:gridCol w:w="28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2"/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4266677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8"/>
        <w:gridCol w:w="2119"/>
        <w:gridCol w:w="1238"/>
        <w:gridCol w:w="3458"/>
        <w:gridCol w:w="42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6"/>
        <w:gridCol w:w="736"/>
        <w:gridCol w:w="736"/>
        <w:gridCol w:w="5613"/>
        <w:gridCol w:w="44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3"/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2"/>
        <w:gridCol w:w="1618"/>
        <w:gridCol w:w="1618"/>
        <w:gridCol w:w="1618"/>
        <w:gridCol w:w="49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6"/>
        <w:gridCol w:w="2335"/>
        <w:gridCol w:w="2335"/>
        <w:gridCol w:w="2685"/>
        <w:gridCol w:w="329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76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райнных бюджетных программ не подлежащих секвестру в процессе исполнения бюджета на 2014 год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№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Жуалынского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24-3 от 26 декабря 2013 года</w:t>
            </w:r>
          </w:p>
        </w:tc>
      </w:tr>
    </w:tbl>
    <w:bookmarkStart w:name="z2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Перечень бюджетных программ каждого сельского округа на 2014 год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5 - в редакции решения Жуалынского районного маслихата от 17.11.2014 </w:t>
      </w:r>
      <w:r>
        <w:rPr>
          <w:rFonts w:ascii="Times New Roman"/>
          <w:b w:val="false"/>
          <w:i w:val="false"/>
          <w:color w:val="ff0000"/>
          <w:sz w:val="28"/>
        </w:rPr>
        <w:t>№ 37-3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7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5"/>
        <w:gridCol w:w="2502"/>
        <w:gridCol w:w="2054"/>
        <w:gridCol w:w="1335"/>
        <w:gridCol w:w="1252"/>
        <w:gridCol w:w="1336"/>
        <w:gridCol w:w="1253"/>
        <w:gridCol w:w="1253"/>
      </w:tblGrid>
      <w:tr>
        <w:trPr>
          <w:trHeight w:val="30" w:hRule="atLeast"/>
        </w:trPr>
        <w:tc>
          <w:tcPr>
            <w:tcW w:w="13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001. "Услуги по обеспечению деятельности акима района в городе, города районного значения, поселка, села, сельского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040.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014. "Организация водоснабжения населенных пунктов"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009.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011.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008.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022. "Капитальные расходы государственного органа"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аула Б.Момышулы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Аксайского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Актюбинского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9"/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Боралдайского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Нурлыкентского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Шакпакского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Карасазского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Кызыларыкского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акима Жетитобинского сельского округа Жуалынского района Жамбылской области"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Кокбастауского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Куренбельского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Кошкаратинского сельского округа Жуалынского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Мынбулакского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государственное учреждение "Аппарат акима Биликольского сельского округа Жуалынского района Жамбылской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