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1177" w14:textId="9f61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08 ноября 2013 года N 176. Зарегистрировано Департаментом юстиции Алматинской области 06 декабря 2013 года N 2487. Утратило силу решением Талдыкорганского городского маслихата Алматинской области от 07 февраля 2014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07.02.2014 № 204.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по городу Талдыкорган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сессии                                  М. Мальтекбасов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Талдыкорган"                               Мұхаметжан Шайзада Базарбайұлы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по городу Талдыкорган"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N 176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по городу Талдыкорган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города Талдыкорган"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городе Талдыкорган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восьми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7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услуг, которыми обеспечивается население данной территории, устанавливается акиматом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 на семью, семьям проживающим в многоквартирном жилом доме при наличии центрального газоснабжения и горячего водоснабжения - 4,8 килограмм на каждого члена семьи в месяц, при наличии центрального газоснабжения, но при отсутствии горячего водоснабжения - 8,2 килограмм на каждого члена семьи в месяц,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на водоснабжение -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три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70 тенге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