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5ef7" w14:textId="d0c5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21 января 2013 года N 1-63, зарегистрировано Департаментом юстиции Алматинской области 28 февраля 2013 года N 2307. Утратило силу постановлением акимата города Талдыкорган области Жетісу от 19 октября 2023 года №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Талдыкорган области Жетісу от 19.10.2023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постановления Правительства Республики Казахстан от 21 апреля 2005 года "Об утверждении Правил внутренней торговли", акимат города Талдыкорган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Кайнарбекова Талгата Канатовича.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Алпысов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Талдыкорган"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Галия Калмуратовна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Бахытберген Нурахимович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Киялбеков Еркин Тыныштыкович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2013 года N 1-63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отведенных мест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торговли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Талдыкорган: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микрорайоне "Жетісу", между домами N 4 и N 5;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микрорайоне "Жетісу", возле дома N 33;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микрорайоне "Самал", возле дома N 8 и N 42;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"9 площадка", возле дома N 27;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улице Ескелді би, возле дома N 238;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улице Гали Орманова, между домами N 49 и N 51;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Отенайском сельском округе, по улице Тілек Әбжіәлиева, возле "Дома культуры";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Еркинском сельском округе, улица Сулеева, возле дома N 68;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 микрорайоне "Мүшелтой", возле дома N 19;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улице Кудайбердиева, возле дома N 84;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улице Биржан Сал, возле дома N 66.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