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ba6c" w14:textId="ac0b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25 декабря 2012 года № 48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11 июля 2013 года № 89. Зарегистрировано Департаментом юстиции Актюбинской области 19 июля 2013 года № 3613. Утратило силу решением Шалкарского районного маслихата Актюбинской области от 26 марта 2014 года №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  Утратило силу решением Шалкарского районного маслихата Актюбинской области от 26.03.2014 № 144.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2012 года № 48 «О бюджете района на 2013-2015 годы» (зарегистрированного в Реестре государственной регистрации нормативных правовых актов за № 3481, опубликованного 16 января 2013 года в газете «Шалкар» за № 2-3(8265):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«5587152,0» заменить цифрами «5585521,0»,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«3916267,0» заменить цифрами «3914636,0»;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«5609461,4» заменить цифрами «5607830,4»;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8, 9, 10 абзацы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ежемесячных денежных средств опекунам (попечителям) на содержание ребенка-сироты (детей-сирот) и ребенка (детей), оставшихся без попечения родителей - 12152,0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размера оплаты за квалификационную категорию учителям школ и воспитателям дошкольных организаций образования – 39823,0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повышение оплаты труда учителям, прошедшим повышение квалификации по трехуровневой системе - 8293,0 тысяч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11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штатной численности местных исполнительных органов - 13003,0 тыс.тенге»;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 С. Тулемисов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89 от 11 июля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от 25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68"/>
        <w:gridCol w:w="806"/>
        <w:gridCol w:w="7325"/>
        <w:gridCol w:w="2695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5585521,0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1591165,0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297605,0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297605,0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923281,0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848301,0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61038,0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25157,0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15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3914636,0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3914636,0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65"/>
        <w:gridCol w:w="808"/>
        <w:gridCol w:w="788"/>
        <w:gridCol w:w="6683"/>
        <w:gridCol w:w="26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5607830,4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288439,0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253418,0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аппарата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19009,0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3859638,1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592064,0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566589,0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3126400,1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3126400,1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2902288,1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141174,0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99003,0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219855,0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69429,0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30064,0</w:t>
            </w:r>
          </w:p>
        </w:tc>
      </w:tr>
      <w:tr>
        <w:trPr>
          <w:trHeight w:val="15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и доставке пособий и других социальных выплат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698471,0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149129,0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90741,0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447151,0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331427,0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70170,0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61221,0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</w:tc>
      </w:tr>
      <w:tr>
        <w:trPr>
          <w:trHeight w:val="18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165000,0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65398,0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64398,0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-25502,4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25502,4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3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89 от 11 июля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от 25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аппаратам</w:t>
      </w:r>
      <w:r>
        <w:br/>
      </w:r>
      <w:r>
        <w:rPr>
          <w:rFonts w:ascii="Times New Roman"/>
          <w:b/>
          <w:i w:val="false"/>
          <w:color w:val="000000"/>
        </w:rPr>
        <w:t>
акимов городских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Шалкарского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3506"/>
        <w:gridCol w:w="2097"/>
        <w:gridCol w:w="4496"/>
      </w:tblGrid>
      <w:tr>
        <w:trPr>
          <w:trHeight w:val="31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 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</w:tr>
      <w:tr>
        <w:trPr>
          <w:trHeight w:val="30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31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1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1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1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1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1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1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1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1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171433,0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1934"/>
        <w:gridCol w:w="1978"/>
        <w:gridCol w:w="2107"/>
        <w:gridCol w:w="1978"/>
        <w:gridCol w:w="2023"/>
      </w:tblGrid>
      <w:tr>
        <w:trPr>
          <w:trHeight w:val="30" w:hRule="atLeast"/>
        </w:trPr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 "Разви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2538,0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