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8cb9" w14:textId="c2d8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22 января 2013 года № 18. Зарегистрировано Департаментом юстиции Актюбинской области 15 февраля 2013 года № 3535. Утратило силу - (письмо руководителя аппарата акима Каргалинского района Актюбинской области от 15 апреля 2014 года № 04-8/1708)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(письмо руководителя аппарата акима Каргалинского района Актюбинской области от 15.04.2014 № 04-8/1708).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предприятий, организаций и учреждений осуществляющих общественные работы, виды, объемы общественных работ на 2013 год и размер оплаты труда безработных, участвующих в общественных работах, в размере минимальной заработной платы в месяц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"Каргалинский районный отдел занятости и социальных программ" (У. Берденова) для организации общественных работ направлять безработных на общественные работы в пределах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района Тынымгереева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Ибрашов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от 22.01.2013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общественные работы, виды, объемы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 на 2013 год и размер оплаты</w:t>
      </w:r>
      <w:r>
        <w:br/>
      </w:r>
      <w:r>
        <w:rPr>
          <w:rFonts w:ascii="Times New Roman"/>
          <w:b/>
          <w:i w:val="false"/>
          <w:color w:val="000000"/>
        </w:rPr>
        <w:t>труда безработных, участвующих в общественных</w:t>
      </w:r>
      <w:r>
        <w:br/>
      </w:r>
      <w:r>
        <w:rPr>
          <w:rFonts w:ascii="Times New Roman"/>
          <w:b/>
          <w:i w:val="false"/>
          <w:color w:val="000000"/>
        </w:rPr>
        <w:t>работах, в размере минимальной заработной платы в месяц</w:t>
      </w:r>
      <w:r>
        <w:br/>
      </w:r>
      <w:r>
        <w:rPr>
          <w:rFonts w:ascii="Times New Roman"/>
          <w:b/>
          <w:i w:val="false"/>
          <w:color w:val="000000"/>
        </w:rPr>
        <w:t>за счет средств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381"/>
        <w:gridCol w:w="825"/>
        <w:gridCol w:w="2947"/>
        <w:gridCol w:w="1856"/>
        <w:gridCol w:w="3766"/>
        <w:gridCol w:w="217"/>
      </w:tblGrid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/проекты/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 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ноз/ /тенге/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"ГЦВП"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"Каргалин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"Каргалин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"Каргалин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физи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