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b558" w14:textId="753b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31 января 2013 года № 70. Зарегистрировано Департаментом юстиции Актюбинской области 14 февраля 2013 года № 3529. Утратило силу решением маслихата Алгинского района Актюбинской области от 26 сентября 2017 года № 116</w:t>
      </w:r>
    </w:p>
    <w:p>
      <w:pPr>
        <w:spacing w:after="0"/>
        <w:ind w:left="0"/>
        <w:jc w:val="both"/>
      </w:pPr>
      <w:r>
        <w:rPr>
          <w:rFonts w:ascii="Times New Roman"/>
          <w:b w:val="false"/>
          <w:i w:val="false"/>
          <w:color w:val="ff0000"/>
          <w:sz w:val="28"/>
        </w:rPr>
        <w:t xml:space="preserve">
      Сноска. Утратило силу решением маслихата Алгинского района Актюбинской области от 26.09.2017 </w:t>
      </w:r>
      <w:r>
        <w:rPr>
          <w:rFonts w:ascii="Times New Roman"/>
          <w:b w:val="false"/>
          <w:i w:val="false"/>
          <w:color w:val="ff0000"/>
          <w:sz w:val="28"/>
        </w:rPr>
        <w:t>№ 116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Алгинский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жилищной помощи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 силу решение Алгинского районного маслихата от 22 февраля 2010 года № 4 "Об утверждении Правил оказания жилищной помощи" (Зарегистрированное в государственном реестре нормативных правовых актов за № 3-3-105, опубликованное в районной газете "Жұлдыз-Звезда" № 15-16 от 30 марта 2010 года).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Байгазин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 70 Алгинского районного маслихата от 31 января 2013 года</w:t>
            </w:r>
          </w:p>
        </w:tc>
      </w:tr>
    </w:tbl>
    <w:bookmarkStart w:name="z6" w:id="4"/>
    <w:p>
      <w:pPr>
        <w:spacing w:after="0"/>
        <w:ind w:left="0"/>
        <w:jc w:val="left"/>
      </w:pPr>
      <w:r>
        <w:rPr>
          <w:rFonts w:ascii="Times New Roman"/>
          <w:b/>
          <w:i w:val="false"/>
          <w:color w:val="000000"/>
        </w:rPr>
        <w:t xml:space="preserve"> Правила предоставления жилищной помощи</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оказания жилищной помощи.</w:t>
      </w:r>
    </w:p>
    <w:bookmarkEnd w:id="6"/>
    <w:bookmarkStart w:name="z9" w:id="7"/>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населенных пунктах Алгинского района на оплату:</w:t>
      </w:r>
    </w:p>
    <w:bookmarkEnd w:id="8"/>
    <w:p>
      <w:pPr>
        <w:spacing w:after="0"/>
        <w:ind w:left="0"/>
        <w:jc w:val="both"/>
      </w:pPr>
      <w:r>
        <w:rPr>
          <w:rFonts w:ascii="Times New Roman"/>
          <w:b w:val="false"/>
          <w:i w:val="false"/>
          <w:color w:val="000000"/>
          <w:sz w:val="28"/>
        </w:rPr>
        <w:t>
      расходов на содержание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определяется как сумма расходов по каждому из выше 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Start w:name="z11" w:id="9"/>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p>
    <w:bookmarkEnd w:id="9"/>
    <w:bookmarkStart w:name="z12" w:id="10"/>
    <w:p>
      <w:pPr>
        <w:spacing w:after="0"/>
        <w:ind w:left="0"/>
        <w:jc w:val="both"/>
      </w:pPr>
      <w:r>
        <w:rPr>
          <w:rFonts w:ascii="Times New Roman"/>
          <w:b w:val="false"/>
          <w:i w:val="false"/>
          <w:color w:val="000000"/>
          <w:sz w:val="28"/>
        </w:rPr>
        <w:t>
      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действующим тарифом и тарифом, сложившимся по состоянию на сентябрь 2004 года;</w:t>
      </w:r>
    </w:p>
    <w:bookmarkEnd w:id="10"/>
    <w:bookmarkStart w:name="z13" w:id="11"/>
    <w:p>
      <w:pPr>
        <w:spacing w:after="0"/>
        <w:ind w:left="0"/>
        <w:jc w:val="both"/>
      </w:pPr>
      <w:r>
        <w:rPr>
          <w:rFonts w:ascii="Times New Roman"/>
          <w:b w:val="false"/>
          <w:i w:val="false"/>
          <w:color w:val="000000"/>
          <w:sz w:val="28"/>
        </w:rPr>
        <w:t>
      4) заявитель (физическое лицо) - лицо, обратившееся от себя лично или от имени семьи за назначением жилищной помощи;</w:t>
      </w:r>
    </w:p>
    <w:bookmarkEnd w:id="11"/>
    <w:bookmarkStart w:name="z14" w:id="12"/>
    <w:p>
      <w:pPr>
        <w:spacing w:after="0"/>
        <w:ind w:left="0"/>
        <w:jc w:val="both"/>
      </w:pP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p>
    <w:bookmarkEnd w:id="12"/>
    <w:bookmarkStart w:name="z15" w:id="13"/>
    <w:p>
      <w:pPr>
        <w:spacing w:after="0"/>
        <w:ind w:left="0"/>
        <w:jc w:val="both"/>
      </w:pPr>
      <w:r>
        <w:rPr>
          <w:rFonts w:ascii="Times New Roman"/>
          <w:b w:val="false"/>
          <w:i w:val="false"/>
          <w:color w:val="000000"/>
          <w:sz w:val="28"/>
        </w:rPr>
        <w:t>
      6) уполномоченный орган – государственное учреждение "Районный отдел занятости и социальных программ", осуществляющий назначение жилищной помощи.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 от 03.04.2015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r>
        <w:br/>
      </w:r>
      <w:r>
        <w:rPr>
          <w:rFonts w:ascii="Times New Roman"/>
          <w:b w:val="false"/>
          <w:i w:val="false"/>
          <w:color w:val="000000"/>
          <w:sz w:val="28"/>
        </w:rPr>
        <w:t xml:space="preserve">
      </w:t>
      </w:r>
      <w:r>
        <w:rPr>
          <w:rFonts w:ascii="Times New Roman"/>
          <w:b w:val="false"/>
          <w:i w:val="false"/>
          <w:color w:val="000000"/>
          <w:sz w:val="28"/>
        </w:rPr>
        <w:t>Доля предельно допустимых расходов на оплату потребления коммунальных услуг и содержание жилого дома (жилого здания),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5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4. При расчете социальной нормы по отоплению и расходам на содержание жилого дома (жилого здания),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 метров (для одиноко проживающих граждан в пределах - 32 кв.м., для одиноко проживающих в домах, не имеющих централизованного отопления 36 кв.м.) полезной площади, но не более фактически занимаемой полезной площади жилья.</w:t>
      </w:r>
      <w:r>
        <w:br/>
      </w:r>
      <w:r>
        <w:rPr>
          <w:rFonts w:ascii="Times New Roman"/>
          <w:b w:val="false"/>
          <w:i w:val="false"/>
          <w:color w:val="000000"/>
          <w:sz w:val="28"/>
        </w:rPr>
        <w:t xml:space="preserve">
      </w:t>
      </w:r>
      <w:r>
        <w:rPr>
          <w:rFonts w:ascii="Times New Roman"/>
          <w:b w:val="false"/>
          <w:i w:val="false"/>
          <w:color w:val="000000"/>
          <w:sz w:val="28"/>
        </w:rPr>
        <w:t>5.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xml:space="preserve">
      </w:t>
      </w:r>
      <w:r>
        <w:rPr>
          <w:rFonts w:ascii="Times New Roman"/>
          <w:b w:val="false"/>
          <w:i w:val="false"/>
          <w:color w:val="000000"/>
          <w:sz w:val="28"/>
        </w:rPr>
        <w:t>6.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xml:space="preserve">
      </w:t>
      </w:r>
      <w:r>
        <w:rPr>
          <w:rFonts w:ascii="Times New Roman"/>
          <w:b w:val="false"/>
          <w:i w:val="false"/>
          <w:color w:val="000000"/>
          <w:sz w:val="28"/>
        </w:rPr>
        <w:t>7. Незаконно полученные в виде жилищной помощи суммы, подлежат возврату в бюджет в установленном законодательством порядке.</w:t>
      </w:r>
      <w:r>
        <w:br/>
      </w:r>
      <w:r>
        <w:rPr>
          <w:rFonts w:ascii="Times New Roman"/>
          <w:b w:val="false"/>
          <w:i w:val="false"/>
          <w:color w:val="000000"/>
          <w:sz w:val="28"/>
        </w:rPr>
        <w:t>
</w:t>
      </w:r>
    </w:p>
    <w:bookmarkStart w:name="z23" w:id="14"/>
    <w:p>
      <w:pPr>
        <w:spacing w:after="0"/>
        <w:ind w:left="0"/>
        <w:jc w:val="left"/>
      </w:pPr>
      <w:r>
        <w:rPr>
          <w:rFonts w:ascii="Times New Roman"/>
          <w:b/>
          <w:i w:val="false"/>
          <w:color w:val="000000"/>
        </w:rPr>
        <w:t xml:space="preserve"> 2. Порядок назначения жилищной помощи</w:t>
      </w:r>
    </w:p>
    <w:bookmarkEnd w:id="14"/>
    <w:bookmarkStart w:name="z24" w:id="15"/>
    <w:p>
      <w:pPr>
        <w:spacing w:after="0"/>
        <w:ind w:left="0"/>
        <w:jc w:val="both"/>
      </w:pPr>
      <w:r>
        <w:rPr>
          <w:rFonts w:ascii="Times New Roman"/>
          <w:b w:val="false"/>
          <w:i w:val="false"/>
          <w:color w:val="000000"/>
          <w:sz w:val="28"/>
        </w:rPr>
        <w:t>
      8.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xml:space="preserve">
      </w:t>
      </w:r>
      <w:r>
        <w:rPr>
          <w:rFonts w:ascii="Times New Roman"/>
          <w:b w:val="false"/>
          <w:i w:val="false"/>
          <w:color w:val="000000"/>
          <w:sz w:val="28"/>
        </w:rPr>
        <w:t>9.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и арендная плата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10. Сведения по доходам граждан подтверждаются один раз в начале квартала городскими службами, отделами,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 xml:space="preserve">11.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xml:space="preserve">
      </w:t>
      </w:r>
      <w:r>
        <w:rPr>
          <w:rFonts w:ascii="Times New Roman"/>
          <w:b w:val="false"/>
          <w:i w:val="false"/>
          <w:color w:val="000000"/>
          <w:sz w:val="28"/>
        </w:rPr>
        <w:t>12.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xml:space="preserve">
      </w:t>
      </w:r>
      <w:r>
        <w:rPr>
          <w:rFonts w:ascii="Times New Roman"/>
          <w:b w:val="false"/>
          <w:i w:val="false"/>
          <w:color w:val="000000"/>
          <w:sz w:val="28"/>
        </w:rPr>
        <w:t>13.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предельно-допустимого уровня расходов данной семьи на эти цели, и не может превышать сумму фактических затрат.</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14.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r>
        <w:br/>
      </w:r>
      <w:r>
        <w:rPr>
          <w:rFonts w:ascii="Times New Roman"/>
          <w:b w:val="false"/>
          <w:i w:val="false"/>
          <w:color w:val="000000"/>
          <w:sz w:val="28"/>
        </w:rPr>
        <w:t xml:space="preserve">
      </w:t>
      </w:r>
      <w:r>
        <w:rPr>
          <w:rFonts w:ascii="Times New Roman"/>
          <w:b w:val="false"/>
          <w:i w:val="false"/>
          <w:color w:val="000000"/>
          <w:sz w:val="28"/>
        </w:rPr>
        <w:t>15. Указанный договор является основанием для предоставления жилищной помощи</w:t>
      </w:r>
      <w:r>
        <w:rPr>
          <w:rFonts w:ascii="Times New Roman"/>
          <w:b/>
          <w:i w:val="false"/>
          <w:color w:val="000000"/>
          <w:sz w:val="28"/>
        </w:rPr>
        <w:t xml:space="preserve">. </w:t>
      </w:r>
      <w:r>
        <w:rPr>
          <w:rFonts w:ascii="Times New Roman"/>
          <w:b w:val="false"/>
          <w:i w:val="false"/>
          <w:color w:val="000000"/>
          <w:sz w:val="28"/>
        </w:rPr>
        <w:t>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r>
        <w:br/>
      </w:r>
      <w:r>
        <w:rPr>
          <w:rFonts w:ascii="Times New Roman"/>
          <w:b w:val="false"/>
          <w:i w:val="false"/>
          <w:color w:val="000000"/>
          <w:sz w:val="28"/>
        </w:rPr>
        <w:t xml:space="preserve">
      </w:t>
      </w:r>
      <w:r>
        <w:rPr>
          <w:rFonts w:ascii="Times New Roman"/>
          <w:b w:val="false"/>
          <w:i w:val="false"/>
          <w:color w:val="000000"/>
          <w:sz w:val="28"/>
        </w:rPr>
        <w:t>16. В случае возникновения сомнения в достоверности информации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 проводит обследование жилищных условий заявителя;</w:t>
      </w:r>
      <w:r>
        <w:br/>
      </w:r>
      <w:r>
        <w:rPr>
          <w:rFonts w:ascii="Times New Roman"/>
          <w:b w:val="false"/>
          <w:i w:val="false"/>
          <w:color w:val="000000"/>
          <w:sz w:val="28"/>
        </w:rPr>
        <w:t xml:space="preserve">
      </w:t>
      </w:r>
      <w:r>
        <w:rPr>
          <w:rFonts w:ascii="Times New Roman"/>
          <w:b w:val="false"/>
          <w:i w:val="false"/>
          <w:color w:val="000000"/>
          <w:sz w:val="28"/>
        </w:rPr>
        <w:t>2) запрашивает информацию о доходах в соответствующих организациях;</w:t>
      </w:r>
      <w:r>
        <w:br/>
      </w:r>
      <w:r>
        <w:rPr>
          <w:rFonts w:ascii="Times New Roman"/>
          <w:b w:val="false"/>
          <w:i w:val="false"/>
          <w:color w:val="000000"/>
          <w:sz w:val="28"/>
        </w:rPr>
        <w:t xml:space="preserve">
      </w:t>
      </w:r>
      <w:r>
        <w:rPr>
          <w:rFonts w:ascii="Times New Roman"/>
          <w:b w:val="false"/>
          <w:i w:val="false"/>
          <w:color w:val="000000"/>
          <w:sz w:val="28"/>
        </w:rPr>
        <w:t>3) обращается в налоговую службу о проверке факта сокрытия доходов;</w:t>
      </w:r>
      <w:r>
        <w:br/>
      </w:r>
      <w:r>
        <w:rPr>
          <w:rFonts w:ascii="Times New Roman"/>
          <w:b w:val="false"/>
          <w:i w:val="false"/>
          <w:color w:val="000000"/>
          <w:sz w:val="28"/>
        </w:rPr>
        <w:t xml:space="preserve">
      </w:t>
      </w:r>
      <w:r>
        <w:rPr>
          <w:rFonts w:ascii="Times New Roman"/>
          <w:b w:val="false"/>
          <w:i w:val="false"/>
          <w:color w:val="000000"/>
          <w:sz w:val="28"/>
        </w:rPr>
        <w:t>4) делает запрос в жилищную инспекцию о целевом использовании жилищной помощи.</w:t>
      </w:r>
    </w:p>
    <w:bookmarkEnd w:id="15"/>
    <w:bookmarkStart w:name="z37" w:id="16"/>
    <w:p>
      <w:pPr>
        <w:spacing w:after="0"/>
        <w:ind w:left="0"/>
        <w:jc w:val="left"/>
      </w:pPr>
      <w:r>
        <w:rPr>
          <w:rFonts w:ascii="Times New Roman"/>
          <w:b/>
          <w:i w:val="false"/>
          <w:color w:val="000000"/>
        </w:rPr>
        <w:t xml:space="preserve"> 3. Источники финансирования</w:t>
      </w:r>
    </w:p>
    <w:bookmarkEnd w:id="16"/>
    <w:bookmarkStart w:name="z38" w:id="17"/>
    <w:p>
      <w:pPr>
        <w:spacing w:after="0"/>
        <w:ind w:left="0"/>
        <w:jc w:val="both"/>
      </w:pPr>
      <w:r>
        <w:rPr>
          <w:rFonts w:ascii="Times New Roman"/>
          <w:b w:val="false"/>
          <w:i w:val="false"/>
          <w:color w:val="000000"/>
          <w:sz w:val="28"/>
        </w:rPr>
        <w:t>
      17. Финансирование выплат жилищной помощи осуществляется за счет средств местного бюджета.</w:t>
      </w:r>
      <w:r>
        <w:br/>
      </w:r>
      <w:r>
        <w:rPr>
          <w:rFonts w:ascii="Times New Roman"/>
          <w:b w:val="false"/>
          <w:i w:val="false"/>
          <w:color w:val="000000"/>
          <w:sz w:val="28"/>
        </w:rPr>
        <w:t xml:space="preserve">
      </w:t>
      </w:r>
      <w:r>
        <w:rPr>
          <w:rFonts w:ascii="Times New Roman"/>
          <w:b w:val="false"/>
          <w:i w:val="false"/>
          <w:color w:val="000000"/>
          <w:sz w:val="28"/>
        </w:rPr>
        <w:t>18.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коммунальных услуг, а на возмещение расходов на содержание жилого дома (жилого здания) - органам управления объектами кондоминиума.</w:t>
      </w:r>
      <w:r>
        <w:br/>
      </w: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банка РК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маслихата Алгинского района Актюбинской области от 08.11.2013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19.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