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7b77" w14:textId="82f7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 городу Степногорску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24 декабря 2013 года № 5С-25/5. Зарегистрировано Департаментом юстиции Акмолинской области 20 января 2014 года № 3969. Утратило силу решением Степногорского городского маслихата Акмолинской области от 17 февраля 2015 года № 5С-36/3</w:t>
      </w:r>
    </w:p>
    <w:p>
      <w:pPr>
        <w:spacing w:after="0"/>
        <w:ind w:left="0"/>
        <w:jc w:val="both"/>
      </w:pPr>
      <w:r>
        <w:rPr>
          <w:rFonts w:ascii="Times New Roman"/>
          <w:b w:val="false"/>
          <w:i w:val="false"/>
          <w:color w:val="ff0000"/>
          <w:sz w:val="28"/>
        </w:rPr>
        <w:t xml:space="preserve">      Сноска. Утратило силу решением Степногорского городского маслихата Акмолинской области от 17.02.2015 </w:t>
      </w:r>
      <w:r>
        <w:rPr>
          <w:rFonts w:ascii="Times New Roman"/>
          <w:b w:val="false"/>
          <w:i w:val="false"/>
          <w:color w:val="ff0000"/>
          <w:sz w:val="28"/>
        </w:rPr>
        <w:t>№ 5С-36/3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Степногорский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по городу Степногорску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31 октября 2012 года № 5С-10/3 «Об утверждении Правил предоставления жилищной помощи малообеспеченным семьям (гражданам) по городу Степногорску» (зарегистрировано в Реестре государственной регистрации нормативных правовых актов № 3500, опубликовано 6 декабря 2012 года в газетах «Степногорск ақшамы» и «Вечерний Степногорск»).</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С.Сабыров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Г.Копеева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города Степногорска                  А.Кумпекеев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Степногорского</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от 24 декабря 2013 года</w:t>
      </w:r>
      <w:r>
        <w:br/>
      </w:r>
      <w:r>
        <w:rPr>
          <w:rFonts w:ascii="Times New Roman"/>
          <w:b w:val="false"/>
          <w:i w:val="false"/>
          <w:color w:val="000000"/>
          <w:sz w:val="28"/>
        </w:rPr>
        <w:t xml:space="preserve">
№ 5С-25/5       </w:t>
      </w:r>
    </w:p>
    <w:bookmarkEnd w:id="1"/>
    <w:bookmarkStart w:name="z6" w:id="2"/>
    <w:p>
      <w:pPr>
        <w:spacing w:after="0"/>
        <w:ind w:left="0"/>
        <w:jc w:val="left"/>
      </w:pPr>
      <w:r>
        <w:rPr>
          <w:rFonts w:ascii="Times New Roman"/>
          <w:b/>
          <w:i w:val="false"/>
          <w:color w:val="000000"/>
        </w:rPr>
        <w:t xml:space="preserve"> 
Правила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по городу Степногорску</w:t>
      </w:r>
    </w:p>
    <w:bookmarkEnd w:id="2"/>
    <w:bookmarkStart w:name="z7" w:id="3"/>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по городу Степногорску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(далее – Стандарт) и определяют размер и порядок назначения жилищной помощи малообеспеченным семьям (гражданам) проживающим в городе Степногорске.</w:t>
      </w:r>
      <w:r>
        <w:br/>
      </w:r>
      <w:r>
        <w:rPr>
          <w:rFonts w:ascii="Times New Roman"/>
          <w:b w:val="false"/>
          <w:i w:val="false"/>
          <w:color w:val="000000"/>
          <w:sz w:val="28"/>
        </w:rPr>
        <w:t>
</w:t>
      </w:r>
      <w:r>
        <w:rPr>
          <w:rFonts w:ascii="Times New Roman"/>
          <w:b w:val="false"/>
          <w:i w:val="false"/>
          <w:color w:val="ff0000"/>
          <w:sz w:val="28"/>
        </w:rPr>
        <w:t xml:space="preserve">      Сноска. Преамбула Правил - в редакции решения Степногорского городского маслихата Акмолинской области от 22.10.2014 </w:t>
      </w:r>
      <w:r>
        <w:rPr>
          <w:rFonts w:ascii="Times New Roman"/>
          <w:b w:val="false"/>
          <w:i w:val="false"/>
          <w:color w:val="000000"/>
          <w:sz w:val="28"/>
        </w:rPr>
        <w:t>№ 5С-32/9</w:t>
      </w:r>
      <w:r>
        <w:rPr>
          <w:rFonts w:ascii="Times New Roman"/>
          <w:b w:val="false"/>
          <w:i w:val="false"/>
          <w:color w:val="ff0000"/>
          <w:sz w:val="28"/>
        </w:rPr>
        <w:t xml:space="preserve"> (вводится в действие со дня официального опубликования).</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Жилищная помощь предоставляется за счет средств городского бюджета малообеспеченным семьям (гражданам), постоянно проживающим в городе Степногорске, на оплату:</w:t>
      </w:r>
      <w:r>
        <w:br/>
      </w:r>
      <w:r>
        <w:rPr>
          <w:rFonts w:ascii="Times New Roman"/>
          <w:b w:val="false"/>
          <w:i w:val="false"/>
          <w:color w:val="000000"/>
          <w:sz w:val="28"/>
        </w:rPr>
        <w:t>
</w:t>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на эти цели.</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местными исполнительным органом в частном жилищном фонде устанавливается в размере 12 процентов к совокупному доходу семьи.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3.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
      Оплата содержания жилого дома (жилого здания)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4. Жилищная помощь, проживающим в индивидуальном доме с местным отоплением, предоставляется один раз в год.</w:t>
      </w:r>
      <w:r>
        <w:br/>
      </w:r>
      <w:r>
        <w:rPr>
          <w:rFonts w:ascii="Times New Roman"/>
          <w:b w:val="false"/>
          <w:i w:val="false"/>
          <w:color w:val="000000"/>
          <w:sz w:val="28"/>
        </w:rPr>
        <w:t>
</w:t>
      </w:r>
      <w:r>
        <w:rPr>
          <w:rFonts w:ascii="Times New Roman"/>
          <w:b w:val="false"/>
          <w:i w:val="false"/>
          <w:color w:val="000000"/>
          <w:sz w:val="28"/>
        </w:rPr>
        <w:t>
      Расход твердого топлива на один квадратный метр учитывается в размере 49,75 килограмм в месяц, но не более пяти тонн угля на семью в год. Для расчета стоимости твердого топлива учитываются средние цены по городу Степногорску,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5. За норму расхода электрической энергии, обеспечиваемую компенсационными мерами, принимается 75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6. Уполномоченным органом по назначению и выплате жилищной помощи определено государственное учреждение «Отдел занятости и социальных программ города Степногорска».</w:t>
      </w:r>
    </w:p>
    <w:bookmarkEnd w:id="5"/>
    <w:bookmarkStart w:name="z23" w:id="6"/>
    <w:p>
      <w:pPr>
        <w:spacing w:after="0"/>
        <w:ind w:left="0"/>
        <w:jc w:val="left"/>
      </w:pPr>
      <w:r>
        <w:rPr>
          <w:rFonts w:ascii="Times New Roman"/>
          <w:b/>
          <w:i w:val="false"/>
          <w:color w:val="000000"/>
        </w:rPr>
        <w:t xml:space="preserve"> 
2. Назначение и выплата жилищной помощи</w:t>
      </w:r>
    </w:p>
    <w:bookmarkEnd w:id="6"/>
    <w:bookmarkStart w:name="z24" w:id="7"/>
    <w:p>
      <w:pPr>
        <w:spacing w:after="0"/>
        <w:ind w:left="0"/>
        <w:jc w:val="both"/>
      </w:pPr>
      <w:r>
        <w:rPr>
          <w:rFonts w:ascii="Times New Roman"/>
          <w:b w:val="false"/>
          <w:i w:val="false"/>
          <w:color w:val="000000"/>
          <w:sz w:val="28"/>
        </w:rPr>
        <w:t>
      7. Назначение жилищной помощи производится на текущий квартал, при этом доходы семьи (гражданина) и расходы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учитываются в среднем за истекший квартал.</w:t>
      </w:r>
      <w:r>
        <w:br/>
      </w:r>
      <w:r>
        <w:rPr>
          <w:rFonts w:ascii="Times New Roman"/>
          <w:b w:val="false"/>
          <w:i w:val="false"/>
          <w:color w:val="000000"/>
          <w:sz w:val="28"/>
        </w:rPr>
        <w:t>
</w:t>
      </w:r>
      <w:r>
        <w:rPr>
          <w:rFonts w:ascii="Times New Roman"/>
          <w:b w:val="false"/>
          <w:i w:val="false"/>
          <w:color w:val="000000"/>
          <w:sz w:val="28"/>
        </w:rPr>
        <w:t>
      8. Заявление об оказании жилищной помощи подается собственником, нанимателем (поднанимателем) жилья (либо представителем по доверенности)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или веб-портал «электронного правительства».</w:t>
      </w:r>
      <w:r>
        <w:br/>
      </w:r>
      <w:r>
        <w:rPr>
          <w:rFonts w:ascii="Times New Roman"/>
          <w:b w:val="false"/>
          <w:i w:val="false"/>
          <w:color w:val="000000"/>
          <w:sz w:val="28"/>
        </w:rPr>
        <w:t>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Степногорского городского маслихата Акмолинской области от 24.12.2014 </w:t>
      </w:r>
      <w:r>
        <w:rPr>
          <w:rFonts w:ascii="Times New Roman"/>
          <w:b w:val="false"/>
          <w:i w:val="false"/>
          <w:color w:val="000000"/>
          <w:sz w:val="28"/>
        </w:rPr>
        <w:t>№ 5С-34/5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ff0000"/>
          <w:sz w:val="28"/>
        </w:rPr>
        <w:t xml:space="preserve"> Исключен решением Степногорского городского маслихата Акмолинской области от 22.10.2014 </w:t>
      </w:r>
      <w:r>
        <w:rPr>
          <w:rFonts w:ascii="Times New Roman"/>
          <w:b w:val="false"/>
          <w:i w:val="false"/>
          <w:color w:val="000000"/>
          <w:sz w:val="28"/>
        </w:rPr>
        <w:t>№ 5С-32/9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ff0000"/>
          <w:sz w:val="28"/>
        </w:rPr>
        <w:t xml:space="preserve"> Исключен решением Степногорского городского маслихата Акмолинской области от 22.10.2014 </w:t>
      </w:r>
      <w:r>
        <w:rPr>
          <w:rFonts w:ascii="Times New Roman"/>
          <w:b w:val="false"/>
          <w:i w:val="false"/>
          <w:color w:val="000000"/>
          <w:sz w:val="28"/>
        </w:rPr>
        <w:t>№ 5С-32/9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ff0000"/>
          <w:sz w:val="28"/>
        </w:rPr>
        <w:t xml:space="preserve"> Исключен решением Степногорского городского маслихата Акмолинской области от 22.10.2014 </w:t>
      </w:r>
      <w:r>
        <w:rPr>
          <w:rFonts w:ascii="Times New Roman"/>
          <w:b w:val="false"/>
          <w:i w:val="false"/>
          <w:color w:val="000000"/>
          <w:sz w:val="28"/>
        </w:rPr>
        <w:t>№ 5С-32/9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Исключен решением Степногорского городского маслихата Акмолинской области от 22.10.2014 </w:t>
      </w:r>
      <w:r>
        <w:rPr>
          <w:rFonts w:ascii="Times New Roman"/>
          <w:b w:val="false"/>
          <w:i w:val="false"/>
          <w:color w:val="000000"/>
          <w:sz w:val="28"/>
        </w:rPr>
        <w:t>№ 5С-32/9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Государственным учреждением «Отдел занятости и социальных программ города Степногорска» выносится решение об отказе в назначении жилищной помощи в случаях если:</w:t>
      </w:r>
      <w:r>
        <w:br/>
      </w:r>
      <w:r>
        <w:rPr>
          <w:rFonts w:ascii="Times New Roman"/>
          <w:b w:val="false"/>
          <w:i w:val="false"/>
          <w:color w:val="000000"/>
          <w:sz w:val="28"/>
        </w:rPr>
        <w:t>
</w:t>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предельно допустимый уровень расходов семьи на эти цели 12 процентов;</w:t>
      </w:r>
      <w:r>
        <w:br/>
      </w:r>
      <w:r>
        <w:rPr>
          <w:rFonts w:ascii="Times New Roman"/>
          <w:b w:val="false"/>
          <w:i w:val="false"/>
          <w:color w:val="000000"/>
          <w:sz w:val="28"/>
        </w:rPr>
        <w:t>
</w:t>
      </w:r>
      <w:r>
        <w:rPr>
          <w:rFonts w:ascii="Times New Roman"/>
          <w:b w:val="false"/>
          <w:i w:val="false"/>
          <w:color w:val="000000"/>
          <w:sz w:val="28"/>
        </w:rPr>
        <w:t>
      2) предоставляются недостоверные сведения.</w:t>
      </w:r>
      <w:r>
        <w:br/>
      </w:r>
      <w:r>
        <w:rPr>
          <w:rFonts w:ascii="Times New Roman"/>
          <w:b w:val="false"/>
          <w:i w:val="false"/>
          <w:color w:val="000000"/>
          <w:sz w:val="28"/>
        </w:rPr>
        <w:t>
</w:t>
      </w:r>
      <w:r>
        <w:rPr>
          <w:rFonts w:ascii="Times New Roman"/>
          <w:b w:val="false"/>
          <w:i w:val="false"/>
          <w:color w:val="000000"/>
          <w:sz w:val="28"/>
        </w:rPr>
        <w:t>
      14. В случае возникновения сомнения в достоверности информации государственное учреждение «Отдел занятости и социальных программ города Степногорска» обращается в органы, уполномоченные производить проверки.</w:t>
      </w:r>
      <w:r>
        <w:br/>
      </w:r>
      <w:r>
        <w:rPr>
          <w:rFonts w:ascii="Times New Roman"/>
          <w:b w:val="false"/>
          <w:i w:val="false"/>
          <w:color w:val="000000"/>
          <w:sz w:val="28"/>
        </w:rPr>
        <w:t>
</w:t>
      </w:r>
      <w:r>
        <w:rPr>
          <w:rFonts w:ascii="Times New Roman"/>
          <w:b w:val="false"/>
          <w:i w:val="false"/>
          <w:color w:val="000000"/>
          <w:sz w:val="28"/>
        </w:rPr>
        <w:t>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или наниматель (поднаниматель)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15. Выплата жилищной помощи малообеспеченным семьям (гражданам) осуществляется уполномоченным органом по заявлению получателя жилищной помощи через банки второго уровня или организации, имеющие лицензии на соответствующие виды банковских операций путем перечисления на счета получателя, поставщиков услуг, органов управления объектов кондоминиумов.</w:t>
      </w:r>
    </w:p>
    <w:bookmarkEnd w:id="7"/>
    <w:bookmarkStart w:name="z44" w:id="8"/>
    <w:p>
      <w:pPr>
        <w:spacing w:after="0"/>
        <w:ind w:left="0"/>
        <w:jc w:val="left"/>
      </w:pPr>
      <w:r>
        <w:rPr>
          <w:rFonts w:ascii="Times New Roman"/>
          <w:b/>
          <w:i w:val="false"/>
          <w:color w:val="000000"/>
        </w:rPr>
        <w:t xml:space="preserve"> 
3. Исчисление совокупного дохода семьи (гражданина), претендующей на получение жилищной помощи</w:t>
      </w:r>
    </w:p>
    <w:bookmarkEnd w:id="8"/>
    <w:bookmarkStart w:name="z45" w:id="9"/>
    <w:p>
      <w:pPr>
        <w:spacing w:after="0"/>
        <w:ind w:left="0"/>
        <w:jc w:val="both"/>
      </w:pPr>
      <w:r>
        <w:rPr>
          <w:rFonts w:ascii="Times New Roman"/>
          <w:b w:val="false"/>
          <w:i w:val="false"/>
          <w:color w:val="000000"/>
          <w:sz w:val="28"/>
        </w:rPr>
        <w:t>
      16. Совокупный доход семьи (гражданина), претендующей на получение жилищной помощи исчисляется уполномоченным органом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