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90ea" w14:textId="4199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города Астаны от 22 сентября 2010 года № 387/51-IV "О Правилах предоставления жилищной помощи в городе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28 марта 2013 года № 119/14-V. Зарегистрировано Департаментом юстиции города Астаны 3 мая 2013 года № 775. Утратило силу решением маслихата города Астаны от 6 марта 2019 года № 363/45-VI.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06.03.2019 </w:t>
      </w:r>
      <w:r>
        <w:rPr>
          <w:rFonts w:ascii="Times New Roman"/>
          <w:b w:val="false"/>
          <w:i w:val="false"/>
          <w:color w:val="ff0000"/>
          <w:sz w:val="28"/>
        </w:rPr>
        <w:t>№ 363/45-VI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22 сентября 2010 года № 387/51-IV "О Правилах предоставления жилищной помощи в городе Астане" (зарегистрировано в Реестре государственной регистрации нормативных правовых актов 29 октября 2010 года за № 652, опубликовано в газетах "Астана акшамы" № 129 от 20 ноября 2010 года, "Вечерняя Астана" № 135 от 20 ноября 2010 года )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в городе Астане,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Жилищная помощь предоставляется в виде денежных выплат малообеспеченным семьям (гражданам), постоянно проживающим в городе Астане и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Жилищная помощь предоставляется на оплату коммунальных и иных услуг, а также стоимости прибора учета для граждан, проживающих в приватизированных жилых помещениях (квартирах), индивидуальном жилом доме, в случае, если расходы на эти цели превышают предельно-допустимый уровень расходов семьи.";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К заявлению о назначении жилищной помощи прилагаются следующие документы (копии и оригиналы для сверки, кроме справок, предоставляемых в оригинале):</w:t>
      </w:r>
    </w:p>
    <w:p>
      <w:pPr>
        <w:spacing w:after="0"/>
        <w:ind w:left="0"/>
        <w:jc w:val="both"/>
      </w:pPr>
      <w:r>
        <w:rPr>
          <w:rFonts w:ascii="Times New Roman"/>
          <w:b w:val="false"/>
          <w:i w:val="false"/>
          <w:color w:val="000000"/>
          <w:sz w:val="28"/>
        </w:rPr>
        <w:t>
      1) документы, удостоверяющие личность всех членов семьи, проживающих совместно с собственником (нанимателем, поднанимателем) жилища;</w:t>
      </w:r>
    </w:p>
    <w:p>
      <w:pPr>
        <w:spacing w:after="0"/>
        <w:ind w:left="0"/>
        <w:jc w:val="both"/>
      </w:pPr>
      <w:r>
        <w:rPr>
          <w:rFonts w:ascii="Times New Roman"/>
          <w:b w:val="false"/>
          <w:i w:val="false"/>
          <w:color w:val="000000"/>
          <w:sz w:val="28"/>
        </w:rPr>
        <w:t>
      2) справка об отсутствии (наличии) зарегистрированных прав на недвижимое имущество, выданная территориальным органом Министерства юстиции Республики Казахстан;</w:t>
      </w:r>
    </w:p>
    <w:p>
      <w:pPr>
        <w:spacing w:after="0"/>
        <w:ind w:left="0"/>
        <w:jc w:val="both"/>
      </w:pPr>
      <w:r>
        <w:rPr>
          <w:rFonts w:ascii="Times New Roman"/>
          <w:b w:val="false"/>
          <w:i w:val="false"/>
          <w:color w:val="000000"/>
          <w:sz w:val="28"/>
        </w:rPr>
        <w:t>
      3) правоустанавливающий документ на жилище (договор приватизации, договор дарения, договор купли-продажи и т.д.);</w:t>
      </w:r>
    </w:p>
    <w:p>
      <w:pPr>
        <w:spacing w:after="0"/>
        <w:ind w:left="0"/>
        <w:jc w:val="both"/>
      </w:pPr>
      <w:r>
        <w:rPr>
          <w:rFonts w:ascii="Times New Roman"/>
          <w:b w:val="false"/>
          <w:i w:val="false"/>
          <w:color w:val="000000"/>
          <w:sz w:val="28"/>
        </w:rPr>
        <w:t>
      4) книга регистрации граждан;</w:t>
      </w:r>
    </w:p>
    <w:p>
      <w:pPr>
        <w:spacing w:after="0"/>
        <w:ind w:left="0"/>
        <w:jc w:val="both"/>
      </w:pPr>
      <w:r>
        <w:rPr>
          <w:rFonts w:ascii="Times New Roman"/>
          <w:b w:val="false"/>
          <w:i w:val="false"/>
          <w:color w:val="000000"/>
          <w:sz w:val="28"/>
        </w:rPr>
        <w:t>
      5) свидетельство о заключении или расторжении брака;</w:t>
      </w:r>
    </w:p>
    <w:p>
      <w:pPr>
        <w:spacing w:after="0"/>
        <w:ind w:left="0"/>
        <w:jc w:val="both"/>
      </w:pPr>
      <w:r>
        <w:rPr>
          <w:rFonts w:ascii="Times New Roman"/>
          <w:b w:val="false"/>
          <w:i w:val="false"/>
          <w:color w:val="000000"/>
          <w:sz w:val="28"/>
        </w:rPr>
        <w:t>
      6) сведения о доходах семьи;</w:t>
      </w:r>
    </w:p>
    <w:p>
      <w:pPr>
        <w:spacing w:after="0"/>
        <w:ind w:left="0"/>
        <w:jc w:val="both"/>
      </w:pPr>
      <w:r>
        <w:rPr>
          <w:rFonts w:ascii="Times New Roman"/>
          <w:b w:val="false"/>
          <w:i w:val="false"/>
          <w:color w:val="000000"/>
          <w:sz w:val="28"/>
        </w:rPr>
        <w:t>
      7) документы, подтверждающие трудовую деятельность;</w:t>
      </w:r>
    </w:p>
    <w:p>
      <w:pPr>
        <w:spacing w:after="0"/>
        <w:ind w:left="0"/>
        <w:jc w:val="both"/>
      </w:pPr>
      <w:r>
        <w:rPr>
          <w:rFonts w:ascii="Times New Roman"/>
          <w:b w:val="false"/>
          <w:i w:val="false"/>
          <w:color w:val="000000"/>
          <w:sz w:val="28"/>
        </w:rPr>
        <w:t>
      8) справка формы № 4 из органов ЗАГСа (для одиноких матерей);</w:t>
      </w:r>
    </w:p>
    <w:p>
      <w:pPr>
        <w:spacing w:after="0"/>
        <w:ind w:left="0"/>
        <w:jc w:val="both"/>
      </w:pPr>
      <w:r>
        <w:rPr>
          <w:rFonts w:ascii="Times New Roman"/>
          <w:b w:val="false"/>
          <w:i w:val="false"/>
          <w:color w:val="000000"/>
          <w:sz w:val="28"/>
        </w:rPr>
        <w:t>
      9) счета на потребление коммунальных услуг за месяц предшествующий месяцу обращения за назначением жилищной помощи;</w:t>
      </w:r>
    </w:p>
    <w:p>
      <w:pPr>
        <w:spacing w:after="0"/>
        <w:ind w:left="0"/>
        <w:jc w:val="both"/>
      </w:pPr>
      <w:r>
        <w:rPr>
          <w:rFonts w:ascii="Times New Roman"/>
          <w:b w:val="false"/>
          <w:i w:val="false"/>
          <w:color w:val="000000"/>
          <w:sz w:val="28"/>
        </w:rPr>
        <w:t>
      10) счет о размере целевого взноса на капитальный ремонт общего имущества объекта кондоминиума и (или)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p>
    <w:p>
      <w:pPr>
        <w:spacing w:after="0"/>
        <w:ind w:left="0"/>
        <w:jc w:val="both"/>
      </w:pPr>
      <w:r>
        <w:rPr>
          <w:rFonts w:ascii="Times New Roman"/>
          <w:b w:val="false"/>
          <w:i w:val="false"/>
          <w:color w:val="000000"/>
          <w:sz w:val="28"/>
        </w:rPr>
        <w:t>
      11) квитанция-счет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12) счет о размере арендной платы за пользование жилищем, предъявленный местным исполнительным органом;</w:t>
      </w:r>
    </w:p>
    <w:p>
      <w:pPr>
        <w:spacing w:after="0"/>
        <w:ind w:left="0"/>
        <w:jc w:val="both"/>
      </w:pPr>
      <w:r>
        <w:rPr>
          <w:rFonts w:ascii="Times New Roman"/>
          <w:b w:val="false"/>
          <w:i w:val="false"/>
          <w:color w:val="000000"/>
          <w:sz w:val="28"/>
        </w:rPr>
        <w:t>
      13) квитанция-счет стоимости прибора учета – для граждан, проживающих в приватизированных жилых помещениях (квартирах), индивидуальном жилом доме.".</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Есилов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