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f95d" w14:textId="747f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19 июня 2013 года № 63 "Об утверждении Правил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документов о проверках и их результатах"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9 декабря 2013 года № 112. Зарегистрирован в Министерстве юстиции Республики Казахстан 20 декабря 2013 года № 9003. Утратил силу приказом Генерального прокурора Республики Казахстан от 29 мая 2015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29.05.2015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и развития государственной правовой информационной статистической системы путем перехода на электронную регистрацию актов о назначении проверок,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июня 2013 года № 63 «Об утверждении Правил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результатах», зарегистрированный в Реестре государственной регистрации нормативных правовых актов за № 8518, опубликованный в газетах «Казахстанская правда» от 26 июня 2013 года № 216 (27490); от 26 июня 2013 года № 156 (28095), «Егемен Қазақстан»; «Юридическая газета» от 20 июня 2013 года № 90 (2465)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 (далее –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информационный учетный документ (далее - ИУД) - материальный (бумажный, магнитный, оптический и другие) носитель правовой статистической информации (учетная карточка формы № 1-П и талон - уведомление), на основании которого формируются данные государственной правовой статистики и специальных учетов;»;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Регистрация акта о назначении проверки осуществляется органом по правовой статистике и специальным учетам до начала проверки по месту регистрации объекта проверки или по месту осуществления им своей деятельности,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В случае, приостановления, возобновления, а также изменения состава лиц, участвующих в проверке, субъект регистрации направляет в орган по правовой статистике и специальным учетам талон-уведомление к учетной карточке сведений о проверке, осуществляемой государственным органом Республики Казахстан № 1-П (далее - талон-уведомление)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проверяемого субъекта производится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порядок регистрации акта о назначении проверки, приостановления, возобновления либо продления сроков проверки, а также изменении состава лиц, участвующих в проверке осуществляемых органами налоговой службы,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главой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Субъект регистрации в течение трех рабочих дней по завершении проверки представляет в орган по правовой статистике и специальным учетам </w:t>
      </w:r>
      <w:r>
        <w:rPr>
          <w:rFonts w:ascii="Times New Roman"/>
          <w:b w:val="false"/>
          <w:i w:val="false"/>
          <w:color w:val="000000"/>
          <w:sz w:val="28"/>
        </w:rPr>
        <w:t>талон-уведомление</w:t>
      </w:r>
      <w:r>
        <w:rPr>
          <w:rFonts w:ascii="Times New Roman"/>
          <w:b w:val="false"/>
          <w:i w:val="false"/>
          <w:color w:val="000000"/>
          <w:sz w:val="28"/>
        </w:rPr>
        <w:t>, а в случае электронной регистрации его электронный формат, за исключением случаев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главой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В случае выявления органами прокуратуры у субъектов регистрации актов о назначении проверок, не прошедших регистрацию, или проверок, проведенных без вынесения акта о назначении проверки, субъект регистрации предоставляет в течение трех рабочих дней со дня его уведомления в орган по правовой статистике и специальным учетам заполненные </w:t>
      </w:r>
      <w:r>
        <w:rPr>
          <w:rFonts w:ascii="Times New Roman"/>
          <w:b w:val="false"/>
          <w:i w:val="false"/>
          <w:color w:val="000000"/>
          <w:sz w:val="28"/>
        </w:rPr>
        <w:t>учетные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ф. № 1-П и </w:t>
      </w:r>
      <w:r>
        <w:rPr>
          <w:rFonts w:ascii="Times New Roman"/>
          <w:b w:val="false"/>
          <w:i w:val="false"/>
          <w:color w:val="000000"/>
          <w:sz w:val="28"/>
        </w:rPr>
        <w:t>талоны-уведомление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незарегистрированные проверки, предварительно сделав соответствующую запись в своем Журнале.»;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основании сведений актов о назначении проверок, </w:t>
      </w:r>
      <w:r>
        <w:rPr>
          <w:rFonts w:ascii="Times New Roman"/>
          <w:b w:val="false"/>
          <w:i w:val="false"/>
          <w:color w:val="000000"/>
          <w:sz w:val="28"/>
        </w:rPr>
        <w:t>учетных карточек</w:t>
      </w:r>
      <w:r>
        <w:rPr>
          <w:rFonts w:ascii="Times New Roman"/>
          <w:b w:val="false"/>
          <w:i w:val="false"/>
          <w:color w:val="000000"/>
          <w:sz w:val="28"/>
        </w:rPr>
        <w:t xml:space="preserve"> ф. № 1-П, талонов-уведомлений органом по правовой статистике и специальным учетам ведется централизованный государственный банк данных о проверках, осуществляемых государственными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плане указываются наименование государственного органа, порядковый номер, наименование объекта проверки,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ИИН) или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БИН), дата государственной регистрации субъекта малого предпринимательства, его местонахождение или место осуществления деятельности, группа риска.»;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заполнения учетной карточки ф. № 1-П и талона-уведомление»;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Реквизиты </w:t>
      </w:r>
      <w:r>
        <w:rPr>
          <w:rFonts w:ascii="Times New Roman"/>
          <w:b w:val="false"/>
          <w:i w:val="false"/>
          <w:color w:val="000000"/>
          <w:sz w:val="28"/>
        </w:rPr>
        <w:t>учетной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ф. № 1-П и </w:t>
      </w:r>
      <w:r>
        <w:rPr>
          <w:rFonts w:ascii="Times New Roman"/>
          <w:b w:val="false"/>
          <w:i w:val="false"/>
          <w:color w:val="000000"/>
          <w:sz w:val="28"/>
        </w:rPr>
        <w:t>талона-уведомление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заполнению лицом, осуществляющим проверку, печатными буквами без сокращений.»;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По результатам проверки заполняется талон-уведомление, который представляется в орган по правовой статистике и специальным учетам не позднее трех рабочих дней после завершения проверки.»;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Предоставление талона-уведомление является основанием для учета проверки, как завершенной.»;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На основании сведений </w:t>
      </w:r>
      <w:r>
        <w:rPr>
          <w:rFonts w:ascii="Times New Roman"/>
          <w:b w:val="false"/>
          <w:i w:val="false"/>
          <w:color w:val="000000"/>
          <w:sz w:val="28"/>
        </w:rPr>
        <w:t>учетной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ф. № 1-П и </w:t>
      </w:r>
      <w:r>
        <w:rPr>
          <w:rFonts w:ascii="Times New Roman"/>
          <w:b w:val="false"/>
          <w:i w:val="false"/>
          <w:color w:val="000000"/>
          <w:sz w:val="28"/>
        </w:rPr>
        <w:t>талона-уведомления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по правовой статистике и специальным учетам составляется отчет формы № 1-П «О регистрации актов о назначении проверок, осуществляемых государственными органами Республики Казахстан» (далее - отчет формы № 1-П)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Отчет формы № 1-П составляется по единой форме с нарастающим итогом, в котором данные строк и граф идентичны по всем субъектам регистрации:»;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строке 1 указывается остаток незавершенных проверок, по которым не поступили талоны-уведомление на конец отчетного периода;»;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строка 4 отражает количество завершенных проверок (при наличии талона-уведомление);»;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Журнал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о назначении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графы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«Дата представления в орган по правовой статистике и специальных учетов талона-уведомления»;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Книге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зарегистрированных актов о назначении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графы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«Дата представления в орган по правовой статистике и специальных учетов талона-уведомления»;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Отчете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1-П «О регистрации актов о назначении проверок, осуществляемых государственными органами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775"/>
        <w:gridCol w:w="1521"/>
        <w:gridCol w:w="575"/>
        <w:gridCol w:w="691"/>
        <w:gridCol w:w="749"/>
        <w:gridCol w:w="614"/>
        <w:gridCol w:w="884"/>
        <w:gridCol w:w="498"/>
        <w:gridCol w:w="537"/>
        <w:gridCol w:w="595"/>
        <w:gridCol w:w="711"/>
        <w:gridCol w:w="517"/>
        <w:gridCol w:w="711"/>
        <w:gridCol w:w="595"/>
        <w:gridCol w:w="479"/>
        <w:gridCol w:w="634"/>
      </w:tblGrid>
      <w:tr>
        <w:trPr>
          <w:trHeight w:val="174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талона-уведомления)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учетов, заинтересованным структурным подразделениям Генеральной прокуратуры Республики Казахстан для сведения и использования в работе,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Меркель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112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регистрации актов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назначении проверок, уведомлений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приостановлении, возобновлении, продлении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Типовая форма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Акт о назначении проверки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г.__________________«____»__________20____г.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государственного органа______________________________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 должность лица (лиц),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проверки_______________________________________________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3.Сведения о специалистах, консультантах и экспертах, привлекаемых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проведения проверки______________________________________________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проверяемого субъекта или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в отношении которого назначено проведение проверки,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место нахождения, идентификационный номер (ИИН/БИН),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территории. В случае проверки филиала и (или)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указать его наименование и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Предмет назначенной проверки______________________________________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 проведения проверки__________________________________________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Правовые основания проведения проверки, в том числе нормативные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правовые акты, обязательные требования которых подлежат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Проверяемый период________________________________________________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и Ф.И.О. лица уполномоченного подписывать акты)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«___»_________20___г.              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лица зарегистрировавший акт,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штамп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и обязанности проверяемого субъекта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Проверяемые субъекты при проведении контроля и надзора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органов контроля и надзора, прибывших для проведения проверки на объект,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несоблюдения временных интервалов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государственным органом заведомо повторной проверки проверяемого субъекта, в отношении которого ранее проводилась проверка, по одному и тому же вопросу за один и тот же период,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внеплановой проверки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Закона, если предшествующей проверкой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информации 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проверки за период, выходящий за рамки промежутка времени, указанного в заявлении или сообщении о совершенных либо готовящихся преступлениях, в иных обращениях о нарушениях прав и законных интересов физических, юридических лиц и государства,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проверки лицам, не имеющим на то 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указания в одном акте о назначении проверки нескольких проверяемых субъектов, подвергаемых проверке,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сведения, если они не относятся к предмету проводимой проверки или не относятся к периоду, указанному в 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назначении проверки, акт о результатах проверки и действия (бездействие) должностных лиц государственных органов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исполнять не основанные на законе запреты государственных органов или должностных лиц, ограничивающие деятельность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к участию в проверке в целях представления своих интересов и прав, а также осуществления третьими лицами действий, предусмотренных подпунктом 5)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Проверяемые субъекты при проведении государственными органами контроля и надзора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 по охране коммерческой, налоговой либо иной тайны представлять должностным лицам органов контроля и надзора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сделать отметку о получении на втором экземпляре акта о результатах проведенной проверки в день ее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внесения изменений и дополнений в проверяемые документы в период осуществления проверки, если иное не предусмотрено настоящим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безопасность лиц, прибывших для проведения проверки на объект, от вредных и опасных производственных факторов воздействия в соответствии с установленными для данного объекта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ознакомлен, права и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контроле и надзоре в Республике Казахстан»,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«____»____________20___г.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 проверяемого субъекта)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112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регистрации актов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назначении проверок, уведомлений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приостановлении, возобновлении, продлении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Учетная карточка сведений о проверке,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осуществляемой государственным органом 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6"/>
        <w:gridCol w:w="3934"/>
      </w:tblGrid>
      <w:tr>
        <w:trPr>
          <w:trHeight w:val="945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назначившего проверку: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Уровень государственного органа: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республиканский - 1, областной – 2, городской -3, районный – 4, сельский – 5.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Заполняются при вводе сведений в Единую систему учета проверок </w:t>
            </w:r>
          </w:p>
        </w:tc>
      </w:tr>
      <w:tr>
        <w:trPr>
          <w:trHeight w:val="1032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Объект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1-физическое лицо; 2-юридическое лицо; 3-субъект частного предпринимательства, в том числе: 4- малого предпринимательства, 5-среднего предпринимательства, 6-крупного предпринимательства, 7-государственные учреждения, в том числе: 7-1-государственный орган, 7-2-государственные предприятия, 8-некоммерческие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4.Наименование и местонахождение проверяемого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Код группы риска объекта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группа высокого риска, 2- группа среднего риска, 3- группа незначительного 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Вид проверки (ХХХ):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1ХХ - плановая, 2ХХ – внеплановая: (из них: 01 - комплексная, 02 – тематическая, 03 – хронометражное обследование), 3 ХХ-иной вид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Основание внеплановых проверок: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2 -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 (из них 01- поручение вышестоящих органов, 02 - поручение и обращение других государственных органов, 03 - жалобы и обращения третьих лиц), 3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4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5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6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7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8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9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Вопрос проверки; соблюдение норм нормативных правовых актов требования, которых подлежат проверке: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Вид деятельности объекта проверки: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ИИН/БИН объекта проверки: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Номер акта о назначении проверки: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Дата вынесения акта: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«____» ___________20 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Ф.И.О., должность, подпись лица 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осуществляющего проверку: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Срок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«____» __________20 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по «_____» ____________ 20 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Проверяемый период: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«___» ___________20 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по «___» ____________ 20 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 Заполняется сотрудником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Отказано в регистрации акта о назначении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пп._____________ п. 11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Учтена проверка, проведенная: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1(2) -без регистрации в отчетном периоде, (прошедшем периоде); 3 (4) - без вынесения акта о назначении проверки из числа проведенных в отчетном периоде (прошлых периодов).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Незаконная проверка выявлена органами: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 прокуратуры, 1.1- КПСиСУ, 2 – по инициативе государственного органа (подчеркнуть).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Орган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_____________________________(код органа 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Дата регистрации акта о назначении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«____»___________20 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Порядковый номер 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Ф.И.О., должность, подпись сотрудника органа правовой статистики, принявшего карточку ф.1-П на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Дата принятия решения вышестоящим прокурором об отмене 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«___» _____20__г.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Номер КУЗа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 Дата регистрации «__» _____20__г. Наименование государственного органа, зарегистрировавшего КУЗ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35. Прочие отметки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Пример: 101 – комплексная при плановой, 202 - внеплановая тематическая, 102- тематическая 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состоит из цифр: 1 и статьи /_/_/_/, части /_/_/, пункта /_/_/, подпункта /_/_/ ЗК РК или 2 и номера ___,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/_/_/_/_/ чис    мес 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 - Код по справочнику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Номер акта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(чис,  мес,  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чис мес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 мес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   мес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  мес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/_//_/_/ /_/_/_/_/ 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КУЗ/_/_/_/_/_/, дата /_/_/ /_/_/ /_/_/_/_/ (число, месяц, год), код органа 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заполняются при вводе сведений в Единую информационную систему проверок</w:t>
            </w:r>
          </w:p>
        </w:tc>
      </w:tr>
    </w:tbl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112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регистрации актов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назначении проверок, уведомлений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приостановлении, возобновлении, продлении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Талон-уведомление к учетной карточке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сведений о проверке, осуществляемой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государственным органом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8"/>
        <w:gridCol w:w="3842"/>
      </w:tblGrid>
      <w:tr>
        <w:trPr>
          <w:trHeight w:val="840" w:hRule="atLeast"/>
        </w:trPr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 государственного органа, назначившего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Номер акта о назначении проверки дата его вынесения: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 «_____»_____________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и номер государственной регистрации в органе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статистике и специальным учетам: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 «_____» _____________20_____г.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   мес 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   мес     год</w:t>
            </w:r>
          </w:p>
        </w:tc>
      </w:tr>
      <w:tr>
        <w:trPr>
          <w:trHeight w:val="9720" w:hRule="atLeast"/>
        </w:trPr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Наименование объекта проверки, местонахождение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уведомление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«__»___20__г.: 1- о приостановлении 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о возобновлении____; 3 – об изменении лиц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проверке (ФИО).________________________________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продления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«__»____20___г. на ___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причине: 1- проведения специальных исследований, испытаний,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экспертиз; 2- большой объем работы; 3- иные.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7.Проверка не проведена по причине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«__»___20__г.: 1-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проверки по местонахождению; 2 - реорганизация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Проверка прекращена до завершения: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государственным органом; «__»___20__г.: 2-судом; 3- прокурором.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Дата начала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«_____»__________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Дата завершения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«_____»_____________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Результаты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нарушения не выявлены; 2 - нарушения выявлены, из них по результатам отнесения СЧП к степени риска: 01- высокой; 02-незначительной; 03-низкой.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Проверкой защищены права и интересы: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–физического лица; 2 – субъекта частного предпринимательства, в том числе: 3- малого предпринимательства, 4- среднего предпринимательства, 5 – крупного предпринимательства; 6-государственного учреждения; 7 – государственного предприятия; 8 – некоммерческой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В ходе либо по результатам проверки: 1- возбуждено административное дело - № протокола, 2-внесено представление, 3- применена иная мера.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Из них привлечено к ответственности: 1- физическое лицо; 2 – субъект частного предпринимательства, в том числе: 3- малого предпринимательства, 4- среднего предпринимательства, 5 – крупного предпринимательства; 6-государственное учреждение; 7 – государственное предприятие; 8 – некоммерческая 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Сумма выявленного ущерба_______________________________________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Из них сумма возмещенного ущерба, в ходе проверки_______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 том числе в доход государства________________________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Направлено в суд для принудительного: 1- приостановления деятельности; 2- приостановления лицензии; 3- запрещения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Направлено в правоохранительные органы «__»__20_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Номер КУЗа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 Дата регистрации «__» _____20__г. Наименование государственного органа, зарегистрировавшего КУЗ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Нормы нормативных правовых актов, требования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нарушены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Ф.И.О., должность, подпись лица (лиц), осуществившего(ших) проверку,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телефона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14, 22 и 23 заполняются сотрудником органа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Дата поступления талона в орган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«_____»___________20____г.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Ф.И.О., должность, подпись сотрудника органа правовой статистики, принявшего талон-приложение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   мес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   мес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  мес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чис    мес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№,№/_/_/_/_/_/_/_/_/_/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/_/_/_/_/__/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чис   мес 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   мес  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раздела заполняются при их вводе в Единую систему учета проверок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112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регистрации актов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назначении проверок, уведомлений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приостановлении, возобновлении, продлении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сроков проверок, об изменении состава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и предоставлении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учетных документов о проверках и их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План проведения проверок государственного органа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______________________ области на __________20___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789"/>
        <w:gridCol w:w="2093"/>
        <w:gridCol w:w="2093"/>
        <w:gridCol w:w="2018"/>
        <w:gridCol w:w="2682"/>
      </w:tblGrid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 проверки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 / БИН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регистрации субъекта малого предпринимательства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или место осуществления деятельности объекта проверки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