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6257c" w14:textId="b4625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подушевого нормативного финансирования среднего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30 октября 2013 года № 440. Зарегистрирован в Министерстве юстиции Республики Казахстан 7 ноября 2013 года № 8885. Утратил силу приказом Министра образования и науки Республики Казахстан от 27 ноября 2017 года № 597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27.11.2017 </w:t>
      </w:r>
      <w:r>
        <w:rPr>
          <w:rFonts w:ascii="Times New Roman"/>
          <w:b w:val="false"/>
          <w:i w:val="false"/>
          <w:color w:val="ff0000"/>
          <w:sz w:val="28"/>
        </w:rPr>
        <w:t>№ 597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подпункта 46-1)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 и эффективного использования бюджетных средств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подушевого нормативного финансирования среднего образования согласно приложению к настоящему приказу.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финансов и инвестиционных проектов (Нургожаевой Т.А.)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порядке официальное опубликование настоящего приказа в средствах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Галимову А.К.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 и распространяется на отношения, возникшие с 1 сентября 2013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Саринжипов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2013 года № 440</w:t>
            </w:r>
          </w:p>
        </w:tc>
      </w:tr>
    </w:tbl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</w:p>
    <w:bookmarkEnd w:id="5"/>
    <w:bookmarkStart w:name="z2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подушевого нормативного финансирования среднего образования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в редакции приказа и.о Министра образования и науки РК от 25.08.2016 </w:t>
      </w:r>
      <w:r>
        <w:rPr>
          <w:rFonts w:ascii="Times New Roman"/>
          <w:b w:val="false"/>
          <w:i w:val="false"/>
          <w:color w:val="ff0000"/>
          <w:sz w:val="28"/>
        </w:rPr>
        <w:t>№ 520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подушевого нормативного финансирования среднего образования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46-1)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 (далее – Закон) с целью определения единого подхода при расчете нормативов финансирования обеспечения государственных гарантий прав граждан на получение обязательного бесплатного среднего образования. 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финансирования организации среднего образования включает в себя финансирование расходов на образовательный процесс и расходов на образовательную среду, определяемых, исходя из подушевого норматива финансирования.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Подушевой норматив финансирования образовательного процесса различается в зависимости от: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уровня образования: начальное образование, основное среднее образование, общее среднее образование;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вида реализуемых образовательных программ: общеобразовательные, специальные образовательные учебные программы;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места реализации образовательной программы: город, сельская местность.</w:t>
      </w:r>
    </w:p>
    <w:bookmarkEnd w:id="13"/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Показатели, используемые для расчета подушевого норматива финансирования среднего образования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расчете подушевого норматива финансирования образовательного процесса используются: 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базовый должностной оклад (далее – БДО), утверждаемый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января 2004 года № 74 "Об утверждении размеров базового должностного оклада и поправочного коэффициента";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(далее – МРП), установленный законом Республики Казахстан о республиканском бюджете на соответствующий год;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Закона, нормативная учебная нагрузка в неделю для педагогических работников, непосредственно осуществляющих учебно-воспитательный процесс в государственных организациях образования: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часов – для работы в классах общего среднего образования;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количество часов в неделю в соответствии с Типовыми учебными планами,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ноября 2012 года № 500 "Об утверждении типовых учебных планов начального, основного среднего, общего среднего образования Республики Казахстан" (зарегистрированный в Реестре государственной регистрации нормативных правовых актов за № 69469 опубликованный в газете "Казахстанская правда" от 23 февраля 2013 года № 69-70 (27343-27344), по уровням образования: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29,75 часа – среднее число часов в 1 – 4 классах;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45,1 часа – среднее число часов в 5 – 9 классах;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56,25 часа – среднее число часов в 10 – 11 классах;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расчетная наполняемость классов в соответствии с Государственными общеобязательными стандартами образования соответствующих уровней образования,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августа 2012 года № 1080, </w:t>
      </w:r>
      <w:r>
        <w:rPr>
          <w:rFonts w:ascii="Times New Roman"/>
          <w:b w:val="false"/>
          <w:i w:val="false"/>
          <w:color w:val="000000"/>
          <w:sz w:val="28"/>
        </w:rPr>
        <w:t>Санитарными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объектам образования", утвержденными приказом Министра национальной экономики Республики Казахстан от 29 декабря 2014 года № 179 (зарегистрированный в Реестре государственной регистрации нормативных правовых актов за № 88305, опубликованный в газете "Казахстанская правда" от 24 сентября 2015 года № 183 (28059):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городских общеобразовательных школах – 24 учащихся;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сельских общеобразовательных школах– 20 учащихся;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специальных (коррекционных) классах – 12 учащихся.</w:t>
      </w:r>
    </w:p>
    <w:bookmarkEnd w:id="27"/>
    <w:bookmarkStart w:name="z4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Алгоритм расчета объема финансирования образовательного процесса и базового подушевого норматива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Расчет объема финансирования образовательного процесса и базового подушевого норматива производится по следующим формулам.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V</w:t>
      </w:r>
      <w:r>
        <w:rPr>
          <w:rFonts w:ascii="Times New Roman"/>
          <w:b w:val="false"/>
          <w:i w:val="false"/>
          <w:color w:val="000000"/>
          <w:vertAlign w:val="subscript"/>
        </w:rPr>
        <w:t>ОП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годовой объем финансирования образовательного процесса организации среднего образования рассчитывается по формуле: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ОП</w:t>
      </w:r>
      <w:r>
        <w:rPr>
          <w:rFonts w:ascii="Times New Roman"/>
          <w:b w:val="false"/>
          <w:i w:val="false"/>
          <w:color w:val="000000"/>
          <w:sz w:val="28"/>
        </w:rPr>
        <w:t xml:space="preserve"> =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3937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(N</w:t>
      </w:r>
      <w:r>
        <w:rPr>
          <w:rFonts w:ascii="Times New Roman"/>
          <w:b w:val="false"/>
          <w:i w:val="false"/>
          <w:color w:val="000000"/>
          <w:vertAlign w:val="subscript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>* Конт</w:t>
      </w:r>
      <w:r>
        <w:rPr>
          <w:rFonts w:ascii="Times New Roman"/>
          <w:b w:val="false"/>
          <w:i w:val="false"/>
          <w:color w:val="000000"/>
          <w:vertAlign w:val="subscript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реализации в одной организации среднего образования более одного вида образовательной программы объем финансирования образовательного процесса определяется суммарно, исходя из подушевого норматива на одного обучающегося по видам образовательных программ, уровням образования.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</w:t>
      </w:r>
      <w:r>
        <w:rPr>
          <w:rFonts w:ascii="Times New Roman"/>
          <w:b w:val="false"/>
          <w:i w:val="false"/>
          <w:color w:val="000000"/>
          <w:vertAlign w:val="subscript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среднегодовой контингент учащихся, который рассчитывается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 по составлению сведений о сети, штатах, контингентах, утвержденной приказом Министра финансов Республики Казахстан от 20 февраля 2015 года № 108 (зарегистрированный в Министерстве юстиции Республики Казахстан № 10498);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N</w:t>
      </w:r>
      <w:r>
        <w:rPr>
          <w:rFonts w:ascii="Times New Roman"/>
          <w:b w:val="false"/>
          <w:i w:val="false"/>
          <w:color w:val="000000"/>
          <w:vertAlign w:val="subscript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подушевой норматив расходов образовательного процесса по уровням образования в расчете на одного обучающегося в год рассчитывается по формуле: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>= N</w:t>
      </w:r>
      <w:r>
        <w:rPr>
          <w:rFonts w:ascii="Times New Roman"/>
          <w:b w:val="false"/>
          <w:i w:val="false"/>
          <w:color w:val="000000"/>
          <w:vertAlign w:val="subscript"/>
        </w:rPr>
        <w:t>zb</w:t>
      </w:r>
      <w:r>
        <w:rPr>
          <w:rFonts w:ascii="Times New Roman"/>
          <w:b w:val="false"/>
          <w:i w:val="false"/>
          <w:color w:val="000000"/>
          <w:sz w:val="28"/>
        </w:rPr>
        <w:t>* K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zb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– базовый подушевой норматив расходов образовательного процесса,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z – индекс, отражающий уровень образования (начальное, основное среднее, общее среднее образование),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поправочный коэффициент, рассчитанный с учетом повышения должностных окладов специалистам, работающим в сельской местности, а также с учетом наполняемости классов сельских школ и специальных (коррекционных) классов: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1-4 классов – за проживание в сельской местности – 1,444, за работу в специальных (коррекционных) классах в городской местности – 2,237, за работу в специальных (коррекционных) классах в сельской местности – 2,392,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5-9 классов – за проживание в сельской местности – 1,449, за работу в специальных (коррекционных) классах в городской местности – 1,762, за работу в специальных (коррекционных) классах в сельской местности – 2,404,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10-11 классов – за проживание в сельской местности – 1,450, за работу в специальных (коррекционных) классах в городской местности – 1,523, за работу в специальных (коррекционных) классах в сельской местности – 2,409.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zb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рассчитывается по формуле: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zb</w:t>
      </w:r>
      <w:r>
        <w:rPr>
          <w:rFonts w:ascii="Times New Roman"/>
          <w:b w:val="false"/>
          <w:i w:val="false"/>
          <w:color w:val="000000"/>
          <w:sz w:val="28"/>
        </w:rPr>
        <w:t>= Tp</w:t>
      </w:r>
      <w:r>
        <w:rPr>
          <w:rFonts w:ascii="Times New Roman"/>
          <w:b w:val="false"/>
          <w:i w:val="false"/>
          <w:color w:val="000000"/>
          <w:vertAlign w:val="subscript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 xml:space="preserve"> + X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</w:t>
      </w:r>
      <w:r>
        <w:rPr>
          <w:rFonts w:ascii="Times New Roman"/>
          <w:b w:val="false"/>
          <w:i w:val="false"/>
          <w:color w:val="000000"/>
          <w:vertAlign w:val="subscript"/>
        </w:rPr>
        <w:t>z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– годовой фонд оплаты труда управленческого и основного персонала, задействованного в образовательном процессе, в расчете на 1 обучающегося в год;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 – расходы, связанные с образовательным процессом, которые составляют 1,2 МРП в год в расчете на 1 учащегося и включают: 0,3 МРП – расходы, связанные с подготовкой и участием учащихся в научных, спортивных и интеллектуальных конкурсах и мероприятиях, 0,9 МРП – учебные расходы.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</w:t>
      </w:r>
      <w:r>
        <w:rPr>
          <w:rFonts w:ascii="Times New Roman"/>
          <w:b w:val="false"/>
          <w:i w:val="false"/>
          <w:color w:val="000000"/>
          <w:vertAlign w:val="subscript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рассчитывается по формуле в зависимости от уровня образования(z)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</w:t>
      </w:r>
      <w:r>
        <w:rPr>
          <w:rFonts w:ascii="Times New Roman"/>
          <w:b w:val="false"/>
          <w:i w:val="false"/>
          <w:color w:val="000000"/>
          <w:vertAlign w:val="subscript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 xml:space="preserve"> = Тр</w:t>
      </w:r>
      <w:r>
        <w:rPr>
          <w:rFonts w:ascii="Times New Roman"/>
          <w:b w:val="false"/>
          <w:i w:val="false"/>
          <w:color w:val="000000"/>
          <w:vertAlign w:val="subscript"/>
        </w:rPr>
        <w:t>z</w:t>
      </w:r>
      <w:r>
        <w:rPr>
          <w:rFonts w:ascii="Times New Roman"/>
          <w:b w:val="false"/>
          <w:i w:val="false"/>
          <w:color w:val="000000"/>
          <w:vertAlign w:val="subscript"/>
        </w:rPr>
        <w:t>осн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+ Тр</w:t>
      </w:r>
      <w:r>
        <w:rPr>
          <w:rFonts w:ascii="Times New Roman"/>
          <w:b w:val="false"/>
          <w:i w:val="false"/>
          <w:color w:val="000000"/>
          <w:vertAlign w:val="subscript"/>
        </w:rPr>
        <w:t>z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комп.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</w:t>
      </w:r>
      <w:r>
        <w:rPr>
          <w:rFonts w:ascii="Times New Roman"/>
          <w:b w:val="false"/>
          <w:i w:val="false"/>
          <w:color w:val="000000"/>
          <w:vertAlign w:val="subscript"/>
        </w:rPr>
        <w:t>zосн</w:t>
      </w:r>
      <w:r>
        <w:rPr>
          <w:rFonts w:ascii="Times New Roman"/>
          <w:b w:val="false"/>
          <w:i w:val="false"/>
          <w:color w:val="000000"/>
          <w:vertAlign w:val="subscript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= 12 * W * sno * mv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</w:t>
      </w:r>
      <w:r>
        <w:rPr>
          <w:rFonts w:ascii="Times New Roman"/>
          <w:b w:val="false"/>
          <w:i w:val="false"/>
          <w:color w:val="000000"/>
          <w:vertAlign w:val="subscript"/>
        </w:rPr>
        <w:t>z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комп.</w:t>
      </w:r>
      <w:r>
        <w:rPr>
          <w:rFonts w:ascii="Times New Roman"/>
          <w:b w:val="false"/>
          <w:i w:val="false"/>
          <w:color w:val="000000"/>
          <w:sz w:val="28"/>
        </w:rPr>
        <w:t xml:space="preserve"> = (ДО + БДО * f) * mv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</w:t>
      </w:r>
      <w:r>
        <w:rPr>
          <w:rFonts w:ascii="Times New Roman"/>
          <w:b w:val="false"/>
          <w:i w:val="false"/>
          <w:color w:val="000000"/>
          <w:vertAlign w:val="subscript"/>
        </w:rPr>
        <w:t>zосн</w:t>
      </w:r>
      <w:r>
        <w:rPr>
          <w:rFonts w:ascii="Times New Roman"/>
          <w:b w:val="false"/>
          <w:i w:val="false"/>
          <w:color w:val="000000"/>
          <w:vertAlign w:val="subscript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годовой фонд оплаты труда управленческого и основного персонала, задействованного в образовательном процессе, без учета компенсационных выплат;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</w:t>
      </w:r>
      <w:r>
        <w:rPr>
          <w:rFonts w:ascii="Times New Roman"/>
          <w:b w:val="false"/>
          <w:i w:val="false"/>
          <w:color w:val="000000"/>
          <w:vertAlign w:val="subscript"/>
        </w:rPr>
        <w:t>z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комп.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годовой объем расходов на выплату пособий на оздоровление к ежегодному оплачиваемому трудовому отпуску работников;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 – фонд оплаты труда педагогических работников в месяц,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– количество месяцев в году для перехода от расчета нормативных затрат в месяц к расчету нормативных затрат в год;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W – фонд оплаты труда педагогических работников в месяц, рассчитывается по формуле: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W= ДО +БДО * (f+ Доу + u</w:t>
      </w:r>
      <w:r>
        <w:rPr>
          <w:rFonts w:ascii="Times New Roman"/>
          <w:b w:val="false"/>
          <w:i w:val="false"/>
          <w:color w:val="000000"/>
          <w:vertAlign w:val="subscript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 xml:space="preserve"> + h)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– должностной оклад одной педагогической ставки в месяц, который определяется путем умножения БДО на коэффициент 4,3;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 – коэффициент удорожания фонда оплаты труда за счет управленческого персонала – 0,903;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Доу – коэффициент надбавки за особые условия труда – 0,520;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</w:t>
      </w:r>
      <w:r>
        <w:rPr>
          <w:rFonts w:ascii="Times New Roman"/>
          <w:b w:val="false"/>
          <w:i w:val="false"/>
          <w:color w:val="000000"/>
          <w:vertAlign w:val="subscript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доплат и надбавок – 0,224;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 – коэффициент доплат за квалификационный уровень педагогических работников, который является переменным и корректируется ежегодно – 0,301;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sno – коэффициент социального налога и социальных отчислений – 1,099;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mv – коэффициент ученико-часа (соотношение количества учебных часов на одного учащегося с учетом нормативной учебной нагрузки)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mv рассчитывается по формуле: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mv = t / n / d,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 – количество часов в неделю по ТУП;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нормативная учебная нагрузка в неделю;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 – расчетная наполняемость класса.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финансирования образовательного процесса организации среднего образования предназначен для следующих видов расходов: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расходы на оплату труда управленческого и основного персонала, участвующего в образовательном процессе (кроме расходов на оплату гимназического компонента, на оплату работникам за проживание в зонах экологического бедствия и радиационного риска);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взносы работодателя по налогам и другим обязательным платежам;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расходы на выплату пособий на оздоровление к ежегодному оплачиваемому трудовому отпуску работников;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расходы, связанные с организацией и осуществлением образовательного процесса;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расходы, связанные с подготовкой и участием учащихся в научных, спортивных и интеллектуальных конкурсах и мероприятиях; 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оплата банковских (финансовых) услуг, связанных с произведением расходов, предусмотренных настоящим пунктом Методики.</w:t>
      </w:r>
    </w:p>
    <w:bookmarkEnd w:id="78"/>
    <w:bookmarkStart w:name="z94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Расчет норматива и объема финансирования образовательной среды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Объем финансирования образовательной среды определяется по формуле: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ОС</w:t>
      </w:r>
      <w:r>
        <w:rPr>
          <w:rFonts w:ascii="Times New Roman"/>
          <w:b w:val="false"/>
          <w:i w:val="false"/>
          <w:color w:val="000000"/>
          <w:sz w:val="28"/>
        </w:rPr>
        <w:t xml:space="preserve"> = N</w:t>
      </w:r>
      <w:r>
        <w:rPr>
          <w:rFonts w:ascii="Times New Roman"/>
          <w:b w:val="false"/>
          <w:i w:val="false"/>
          <w:color w:val="000000"/>
          <w:vertAlign w:val="subscript"/>
        </w:rPr>
        <w:t>пр</w:t>
      </w:r>
      <w:r>
        <w:rPr>
          <w:rFonts w:ascii="Times New Roman"/>
          <w:b w:val="false"/>
          <w:i w:val="false"/>
          <w:color w:val="000000"/>
          <w:sz w:val="28"/>
        </w:rPr>
        <w:t xml:space="preserve"> * Конт</w:t>
      </w:r>
      <w:r>
        <w:rPr>
          <w:rFonts w:ascii="Times New Roman"/>
          <w:b w:val="false"/>
          <w:i w:val="false"/>
          <w:color w:val="000000"/>
          <w:vertAlign w:val="subscript"/>
        </w:rPr>
        <w:t>общ</w:t>
      </w:r>
      <w:r>
        <w:rPr>
          <w:rFonts w:ascii="Times New Roman"/>
          <w:b w:val="false"/>
          <w:i w:val="false"/>
          <w:color w:val="000000"/>
          <w:sz w:val="28"/>
        </w:rPr>
        <w:t>, где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ОС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годовой объем финансирования расходов образовательной среды,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пр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норматив расходов образовательной среды в год на 1 учащегося, который составляет 20,75 МРП в год на 1 учащегося,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</w:t>
      </w:r>
      <w:r>
        <w:rPr>
          <w:rFonts w:ascii="Times New Roman"/>
          <w:b w:val="false"/>
          <w:i w:val="false"/>
          <w:color w:val="000000"/>
          <w:vertAlign w:val="subscript"/>
        </w:rPr>
        <w:t>общ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общий среднегодовой контингент учащихся 1 – 11 классов организации среднего образования.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финансирования образовательной среды организации среднего образования предназначен для следующих видов расходов: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расходы на оплату труда управленческого, основного, административного, вспомогательного и рабочего персонала, не участвующего в образовательном процессе (кроме расходов на оплату работникам за проживание в зонах экологического бедствия и радиационного риска);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взносы работодателя по налогам и другим обязательным платежам;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расходы на выплату пособий на оздоровление к ежегодному оплачиваемому трудовому отпуску работников;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расходы на оплату услуг почтовой и телефонной связи;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расходы на проведение текущего ремонта, содержание и обслуживание зданий, сооружений, технологического оборудования, компьютерной и оргтехники;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приобретение товаров, в стоимостном выражении не превышающих 40-кратный месячный расчетный показатель, необходимых для обеспечения деятельности организации образования, не применяемых в образовательном процессе;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расходы на оплату банковских (финансовых) услуг, связанных с произведением расходов, предусмотренных настоящим пунктом Методики.</w:t>
      </w:r>
    </w:p>
    <w:bookmarkEnd w:id="9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