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4ade" w14:textId="b624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222. Зарегистрирован в Министерстве юстиции Республики Казахстан 12 октября 2013 года № 8813. Утратило силу постановлением Правления Национального Банка Республики Казахстан от 27 сентября 2017 года № 173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27.09.2017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обеспечения эффективности управления пенсионными активами единого накопительного пенсионного фонда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222</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выбора зарубежных организаций, управляющих пенсионными</w:t>
      </w:r>
      <w:r>
        <w:br/>
      </w:r>
      <w:r>
        <w:rPr>
          <w:rFonts w:ascii="Times New Roman"/>
          <w:b/>
          <w:i w:val="false"/>
          <w:color w:val="000000"/>
        </w:rPr>
        <w:t>активами единого накопительного пенсионного фонда, включая</w:t>
      </w:r>
      <w:r>
        <w:br/>
      </w:r>
      <w:r>
        <w:rPr>
          <w:rFonts w:ascii="Times New Roman"/>
          <w:b/>
          <w:i w:val="false"/>
          <w:color w:val="000000"/>
        </w:rPr>
        <w:t>требования к ним, при поручении им совершать действия,</w:t>
      </w:r>
      <w:r>
        <w:br/>
      </w:r>
      <w:r>
        <w:rPr>
          <w:rFonts w:ascii="Times New Roman"/>
          <w:b/>
          <w:i w:val="false"/>
          <w:color w:val="000000"/>
        </w:rPr>
        <w:t>необходимые для управления пенсионными активами единого накопительного пенсионного фонда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и регулируют порядок выбора зарубежных организаций, управляющих пенсионными активами единого накопительного пенсионного фонда (далее - Фонд), включая требования к ним, при поручении им совершать действия, необходимые для управления пенсионными активами Фонда. </w:t>
      </w:r>
    </w:p>
    <w:bookmarkEnd w:id="4"/>
    <w:bookmarkStart w:name="z8" w:id="5"/>
    <w:p>
      <w:pPr>
        <w:spacing w:after="0"/>
        <w:ind w:left="0"/>
        <w:jc w:val="both"/>
      </w:pPr>
      <w:r>
        <w:rPr>
          <w:rFonts w:ascii="Times New Roman"/>
          <w:b w:val="false"/>
          <w:i w:val="false"/>
          <w:color w:val="000000"/>
          <w:sz w:val="28"/>
        </w:rPr>
        <w:t>
      2. Часть пенсионных активов Фонда во внешнее управление передается для:</w:t>
      </w:r>
    </w:p>
    <w:bookmarkEnd w:id="5"/>
    <w:p>
      <w:pPr>
        <w:spacing w:after="0"/>
        <w:ind w:left="0"/>
        <w:jc w:val="both"/>
      </w:pPr>
      <w:r>
        <w:rPr>
          <w:rFonts w:ascii="Times New Roman"/>
          <w:b w:val="false"/>
          <w:i w:val="false"/>
          <w:color w:val="000000"/>
          <w:sz w:val="28"/>
        </w:rPr>
        <w:t>
      1) снижения уровня рисков, связанных с концентрацией управления, посредством диверсификации управления;</w:t>
      </w:r>
    </w:p>
    <w:p>
      <w:pPr>
        <w:spacing w:after="0"/>
        <w:ind w:left="0"/>
        <w:jc w:val="both"/>
      </w:pPr>
      <w:r>
        <w:rPr>
          <w:rFonts w:ascii="Times New Roman"/>
          <w:b w:val="false"/>
          <w:i w:val="false"/>
          <w:color w:val="000000"/>
          <w:sz w:val="28"/>
        </w:rPr>
        <w:t>
      2) увеличения доходности пенсионных активов Фонда благодаря использованию опыта, аналитических материалов, исследований и технических ресурсов внешнего управляющего;</w:t>
      </w:r>
    </w:p>
    <w:p>
      <w:pPr>
        <w:spacing w:after="0"/>
        <w:ind w:left="0"/>
        <w:jc w:val="both"/>
      </w:pPr>
      <w:r>
        <w:rPr>
          <w:rFonts w:ascii="Times New Roman"/>
          <w:b w:val="false"/>
          <w:i w:val="false"/>
          <w:color w:val="000000"/>
          <w:sz w:val="28"/>
        </w:rPr>
        <w:t>
      3) получения дополнительной экспертизы в области управления активами, обучения персонала;</w:t>
      </w:r>
    </w:p>
    <w:p>
      <w:pPr>
        <w:spacing w:after="0"/>
        <w:ind w:left="0"/>
        <w:jc w:val="both"/>
      </w:pPr>
      <w:r>
        <w:rPr>
          <w:rFonts w:ascii="Times New Roman"/>
          <w:b w:val="false"/>
          <w:i w:val="false"/>
          <w:color w:val="000000"/>
          <w:sz w:val="28"/>
        </w:rPr>
        <w:t>
      4) возможности использования новых классов активов, по которым нет опыта во внутреннем управлении.</w:t>
      </w:r>
    </w:p>
    <w:bookmarkStart w:name="z9" w:id="6"/>
    <w:p>
      <w:pPr>
        <w:spacing w:after="0"/>
        <w:ind w:left="0"/>
        <w:jc w:val="both"/>
      </w:pPr>
      <w:r>
        <w:rPr>
          <w:rFonts w:ascii="Times New Roman"/>
          <w:b w:val="false"/>
          <w:i w:val="false"/>
          <w:color w:val="000000"/>
          <w:sz w:val="28"/>
        </w:rPr>
        <w:t>
      3. В Правилах используются следующие понятия:</w:t>
      </w:r>
    </w:p>
    <w:bookmarkEnd w:id="6"/>
    <w:bookmarkStart w:name="z10" w:id="7"/>
    <w:p>
      <w:pPr>
        <w:spacing w:after="0"/>
        <w:ind w:left="0"/>
        <w:jc w:val="both"/>
      </w:pPr>
      <w:r>
        <w:rPr>
          <w:rFonts w:ascii="Times New Roman"/>
          <w:b w:val="false"/>
          <w:i w:val="false"/>
          <w:color w:val="000000"/>
          <w:sz w:val="28"/>
        </w:rPr>
        <w:t>
      1) региональный мандат – портфель, инвестиции которого сосредоточены в рамках одной страны (рынка, региона);</w:t>
      </w:r>
    </w:p>
    <w:bookmarkEnd w:id="7"/>
    <w:bookmarkStart w:name="z11" w:id="8"/>
    <w:p>
      <w:pPr>
        <w:spacing w:after="0"/>
        <w:ind w:left="0"/>
        <w:jc w:val="both"/>
      </w:pPr>
      <w:r>
        <w:rPr>
          <w:rFonts w:ascii="Times New Roman"/>
          <w:b w:val="false"/>
          <w:i w:val="false"/>
          <w:color w:val="000000"/>
          <w:sz w:val="28"/>
        </w:rPr>
        <w:t>
      2) активное управление активами - это вид управления, при котором целевое значение изменчивости отклонения доходности (tracking error) превышает 0.5 процента;</w:t>
      </w:r>
    </w:p>
    <w:bookmarkEnd w:id="8"/>
    <w:bookmarkStart w:name="z12" w:id="9"/>
    <w:p>
      <w:pPr>
        <w:spacing w:after="0"/>
        <w:ind w:left="0"/>
        <w:jc w:val="both"/>
      </w:pPr>
      <w:r>
        <w:rPr>
          <w:rFonts w:ascii="Times New Roman"/>
          <w:b w:val="false"/>
          <w:i w:val="false"/>
          <w:color w:val="000000"/>
          <w:sz w:val="28"/>
        </w:rPr>
        <w:t>
      3) пассивное управление активами - это вид управления, при котором значение изменчивости отклонения доходности (tracking error) не превышает 0.5 процента. При пассивном управлении доходность портфеля во внешнем управлении приблизительно равна доходности эталонного портфеля;</w:t>
      </w:r>
    </w:p>
    <w:bookmarkEnd w:id="9"/>
    <w:bookmarkStart w:name="z13" w:id="10"/>
    <w:p>
      <w:pPr>
        <w:spacing w:after="0"/>
        <w:ind w:left="0"/>
        <w:jc w:val="both"/>
      </w:pPr>
      <w:r>
        <w:rPr>
          <w:rFonts w:ascii="Times New Roman"/>
          <w:b w:val="false"/>
          <w:i w:val="false"/>
          <w:color w:val="000000"/>
          <w:sz w:val="28"/>
        </w:rPr>
        <w:t>
      4) внешнее управление активами – вид управления активами, при котором происходит передача активов в доверительное управление зарубежной организации, специализирующейся на доверительном управлении активами клиентов и осуществляющей свою деятельность на международных финансовых рынках;</w:t>
      </w:r>
    </w:p>
    <w:bookmarkEnd w:id="10"/>
    <w:bookmarkStart w:name="z14" w:id="11"/>
    <w:p>
      <w:pPr>
        <w:spacing w:after="0"/>
        <w:ind w:left="0"/>
        <w:jc w:val="both"/>
      </w:pPr>
      <w:r>
        <w:rPr>
          <w:rFonts w:ascii="Times New Roman"/>
          <w:b w:val="false"/>
          <w:i w:val="false"/>
          <w:color w:val="000000"/>
          <w:sz w:val="28"/>
        </w:rPr>
        <w:t>
      5) внешнее транзитное управление активами – это техническая функция формирования и поддержания внешним транзитным управляющим на срок до 6 (шести) месяцев временного портфеля определенной структуры из активов, предназначенных для перевода от одного управляющего другому, с целью минимизации рисков и издержек, сопутствующих трансформации передаваемых активов;</w:t>
      </w:r>
    </w:p>
    <w:bookmarkEnd w:id="11"/>
    <w:bookmarkStart w:name="z15" w:id="12"/>
    <w:p>
      <w:pPr>
        <w:spacing w:after="0"/>
        <w:ind w:left="0"/>
        <w:jc w:val="both"/>
      </w:pPr>
      <w:r>
        <w:rPr>
          <w:rFonts w:ascii="Times New Roman"/>
          <w:b w:val="false"/>
          <w:i w:val="false"/>
          <w:color w:val="000000"/>
          <w:sz w:val="28"/>
        </w:rPr>
        <w:t>
      6) информационный коэффициент (information ratio) - отношение исторической сверхдоходности к историческому уровню риска (изменчивости отклонения доходности);</w:t>
      </w:r>
    </w:p>
    <w:bookmarkEnd w:id="12"/>
    <w:bookmarkStart w:name="z16" w:id="13"/>
    <w:p>
      <w:pPr>
        <w:spacing w:after="0"/>
        <w:ind w:left="0"/>
        <w:jc w:val="both"/>
      </w:pPr>
      <w:r>
        <w:rPr>
          <w:rFonts w:ascii="Times New Roman"/>
          <w:b w:val="false"/>
          <w:i w:val="false"/>
          <w:color w:val="000000"/>
          <w:sz w:val="28"/>
        </w:rPr>
        <w:t>
      7) глобальный мандат – портфель, инвестиции которого выходят за рамки одной страны (рынка, региона);</w:t>
      </w:r>
    </w:p>
    <w:bookmarkEnd w:id="13"/>
    <w:bookmarkStart w:name="z17" w:id="14"/>
    <w:p>
      <w:pPr>
        <w:spacing w:after="0"/>
        <w:ind w:left="0"/>
        <w:jc w:val="both"/>
      </w:pPr>
      <w:r>
        <w:rPr>
          <w:rFonts w:ascii="Times New Roman"/>
          <w:b w:val="false"/>
          <w:i w:val="false"/>
          <w:color w:val="000000"/>
          <w:sz w:val="28"/>
        </w:rPr>
        <w:t>
      8) головная организация – зарубежная организация, владеющая контрольным пакетом акций дочерних организаций;</w:t>
      </w:r>
    </w:p>
    <w:bookmarkEnd w:id="14"/>
    <w:bookmarkStart w:name="z18" w:id="15"/>
    <w:p>
      <w:pPr>
        <w:spacing w:after="0"/>
        <w:ind w:left="0"/>
        <w:jc w:val="both"/>
      </w:pPr>
      <w:r>
        <w:rPr>
          <w:rFonts w:ascii="Times New Roman"/>
          <w:b w:val="false"/>
          <w:i w:val="false"/>
          <w:color w:val="000000"/>
          <w:sz w:val="28"/>
        </w:rPr>
        <w:t>
      9) уровень сверхдоходности - разница между фактически достигнутым уровнем доходности и уровнем доходности эталонного портфеля;</w:t>
      </w:r>
    </w:p>
    <w:bookmarkEnd w:id="15"/>
    <w:bookmarkStart w:name="z19" w:id="16"/>
    <w:p>
      <w:pPr>
        <w:spacing w:after="0"/>
        <w:ind w:left="0"/>
        <w:jc w:val="both"/>
      </w:pPr>
      <w:r>
        <w:rPr>
          <w:rFonts w:ascii="Times New Roman"/>
          <w:b w:val="false"/>
          <w:i w:val="false"/>
          <w:color w:val="000000"/>
          <w:sz w:val="28"/>
        </w:rPr>
        <w:t>
      10) институциональный инвестор - юридическое лицо, выступающее в роли держателя финансовых активов и осуществляющее профессиональную деятельность по инвестированию финансовых активов;</w:t>
      </w:r>
    </w:p>
    <w:bookmarkEnd w:id="16"/>
    <w:bookmarkStart w:name="z20" w:id="17"/>
    <w:p>
      <w:pPr>
        <w:spacing w:after="0"/>
        <w:ind w:left="0"/>
        <w:jc w:val="both"/>
      </w:pPr>
      <w:r>
        <w:rPr>
          <w:rFonts w:ascii="Times New Roman"/>
          <w:b w:val="false"/>
          <w:i w:val="false"/>
          <w:color w:val="000000"/>
          <w:sz w:val="28"/>
        </w:rPr>
        <w:t>
      11) изменчивость отклонения доходности (tracking error) – основной показатель рыночного риска портфеля по отношению к эталонному портфелю, отражающий изменчивость отклонения доходности портфеля от доходности эталонного портфеля;</w:t>
      </w:r>
    </w:p>
    <w:bookmarkEnd w:id="17"/>
    <w:bookmarkStart w:name="z21" w:id="18"/>
    <w:p>
      <w:pPr>
        <w:spacing w:after="0"/>
        <w:ind w:left="0"/>
        <w:jc w:val="both"/>
      </w:pPr>
      <w:r>
        <w:rPr>
          <w:rFonts w:ascii="Times New Roman"/>
          <w:b w:val="false"/>
          <w:i w:val="false"/>
          <w:color w:val="000000"/>
          <w:sz w:val="28"/>
        </w:rPr>
        <w:t>
      12) специализированный мандат – мандат, передаваемый с целью диверсификации стилей управления и отрицательной корреляции между внешними управляющими;</w:t>
      </w:r>
    </w:p>
    <w:bookmarkEnd w:id="18"/>
    <w:bookmarkStart w:name="z22" w:id="19"/>
    <w:p>
      <w:pPr>
        <w:spacing w:after="0"/>
        <w:ind w:left="0"/>
        <w:jc w:val="both"/>
      </w:pPr>
      <w:r>
        <w:rPr>
          <w:rFonts w:ascii="Times New Roman"/>
          <w:b w:val="false"/>
          <w:i w:val="false"/>
          <w:color w:val="000000"/>
          <w:sz w:val="28"/>
        </w:rPr>
        <w:t>
      13) мандат – портфель, имеющий инвестиционные характеристики, определяемые Национальным Банком Республики Казахстан (далее – Национальный Банк);</w:t>
      </w:r>
    </w:p>
    <w:bookmarkEnd w:id="19"/>
    <w:bookmarkStart w:name="z23" w:id="20"/>
    <w:p>
      <w:pPr>
        <w:spacing w:after="0"/>
        <w:ind w:left="0"/>
        <w:jc w:val="both"/>
      </w:pPr>
      <w:r>
        <w:rPr>
          <w:rFonts w:ascii="Times New Roman"/>
          <w:b w:val="false"/>
          <w:i w:val="false"/>
          <w:color w:val="000000"/>
          <w:sz w:val="28"/>
        </w:rPr>
        <w:t>
      14) маржевой счет – это счет для проведения операций с производными финансовыми инструментами, открытый в клиринговой организации, являющейся организацией, аффилированной с биржами, обеспечивающей действительность, поставку и проведение расчетов по операциям с производными финансовыми инструментами;</w:t>
      </w:r>
    </w:p>
    <w:bookmarkEnd w:id="20"/>
    <w:bookmarkStart w:name="z24" w:id="21"/>
    <w:p>
      <w:pPr>
        <w:spacing w:after="0"/>
        <w:ind w:left="0"/>
        <w:jc w:val="both"/>
      </w:pPr>
      <w:r>
        <w:rPr>
          <w:rFonts w:ascii="Times New Roman"/>
          <w:b w:val="false"/>
          <w:i w:val="false"/>
          <w:color w:val="000000"/>
          <w:sz w:val="28"/>
        </w:rPr>
        <w:t>
      15) внешний управляющий - зарубежная организация, специализирующаяся на доверительном управлении активами клиентов и осуществляющая свою деятельность на международных финансовых рынках;</w:t>
      </w:r>
    </w:p>
    <w:bookmarkEnd w:id="21"/>
    <w:bookmarkStart w:name="z25" w:id="22"/>
    <w:p>
      <w:pPr>
        <w:spacing w:after="0"/>
        <w:ind w:left="0"/>
        <w:jc w:val="both"/>
      </w:pPr>
      <w:r>
        <w:rPr>
          <w:rFonts w:ascii="Times New Roman"/>
          <w:b w:val="false"/>
          <w:i w:val="false"/>
          <w:color w:val="000000"/>
          <w:sz w:val="28"/>
        </w:rPr>
        <w:t>
      16) внешний транзитный управляющий – зарубежная организация, оказывающая услуги транзитного управления активами клиентов и осуществляющая свою деятельность на международных финансовых рынках, назначаемая Председателем или заместителем Председателя Национального Банка, курирующим уполномоченное подразделение на основании сравнительного анализа ценовых предложений;</w:t>
      </w:r>
    </w:p>
    <w:bookmarkEnd w:id="22"/>
    <w:bookmarkStart w:name="z26" w:id="23"/>
    <w:p>
      <w:pPr>
        <w:spacing w:after="0"/>
        <w:ind w:left="0"/>
        <w:jc w:val="both"/>
      </w:pPr>
      <w:r>
        <w:rPr>
          <w:rFonts w:ascii="Times New Roman"/>
          <w:b w:val="false"/>
          <w:i w:val="false"/>
          <w:color w:val="000000"/>
          <w:sz w:val="28"/>
        </w:rPr>
        <w:t>
      17) уполномоченное подразделение – подразделение монетарных операций Национального Банка;</w:t>
      </w:r>
    </w:p>
    <w:bookmarkEnd w:id="23"/>
    <w:bookmarkStart w:name="z27" w:id="24"/>
    <w:p>
      <w:pPr>
        <w:spacing w:after="0"/>
        <w:ind w:left="0"/>
        <w:jc w:val="both"/>
      </w:pPr>
      <w:r>
        <w:rPr>
          <w:rFonts w:ascii="Times New Roman"/>
          <w:b w:val="false"/>
          <w:i w:val="false"/>
          <w:color w:val="000000"/>
          <w:sz w:val="28"/>
        </w:rPr>
        <w:t>
      18) эталонный портфель – набор инструментов, отражающий стратегические интересы инвестора. Доходность эталонного портфеля служит мерой при оценке доходности управления активами. В качестве эталонного портфеля используются индексы, разработанные и отслеживаемые ведущими мировыми, финансовыми организациями либо Национальным Банком.</w:t>
      </w:r>
    </w:p>
    <w:bookmarkEnd w:id="24"/>
    <w:bookmarkStart w:name="z28" w:id="25"/>
    <w:p>
      <w:pPr>
        <w:spacing w:after="0"/>
        <w:ind w:left="0"/>
        <w:jc w:val="left"/>
      </w:pPr>
      <w:r>
        <w:rPr>
          <w:rFonts w:ascii="Times New Roman"/>
          <w:b/>
          <w:i w:val="false"/>
          <w:color w:val="000000"/>
        </w:rPr>
        <w:t xml:space="preserve"> 2. Основные условия внешнего и внешнего транзитного</w:t>
      </w:r>
      <w:r>
        <w:br/>
      </w:r>
      <w:r>
        <w:rPr>
          <w:rFonts w:ascii="Times New Roman"/>
          <w:b/>
          <w:i w:val="false"/>
          <w:color w:val="000000"/>
        </w:rPr>
        <w:t>управления пенсионными активами Фонда</w:t>
      </w:r>
    </w:p>
    <w:bookmarkEnd w:id="25"/>
    <w:bookmarkStart w:name="z29" w:id="26"/>
    <w:p>
      <w:pPr>
        <w:spacing w:after="0"/>
        <w:ind w:left="0"/>
        <w:jc w:val="both"/>
      </w:pPr>
      <w:r>
        <w:rPr>
          <w:rFonts w:ascii="Times New Roman"/>
          <w:b w:val="false"/>
          <w:i w:val="false"/>
          <w:color w:val="000000"/>
          <w:sz w:val="28"/>
        </w:rPr>
        <w:t>
      4. Управление активами Фонда осуществляется как внешним управляющим, так и внешним транзитным управляющим.</w:t>
      </w:r>
    </w:p>
    <w:bookmarkEnd w:id="26"/>
    <w:bookmarkStart w:name="z30" w:id="27"/>
    <w:p>
      <w:pPr>
        <w:spacing w:after="0"/>
        <w:ind w:left="0"/>
        <w:jc w:val="both"/>
      </w:pPr>
      <w:r>
        <w:rPr>
          <w:rFonts w:ascii="Times New Roman"/>
          <w:b w:val="false"/>
          <w:i w:val="false"/>
          <w:color w:val="000000"/>
          <w:sz w:val="28"/>
        </w:rPr>
        <w:t>
      5. Во внешнее или внешнее транзитное управление передаются деньги и другие активы, входящие в состав пенсионных активов Фонда.</w:t>
      </w:r>
    </w:p>
    <w:bookmarkEnd w:id="27"/>
    <w:bookmarkStart w:name="z31" w:id="28"/>
    <w:p>
      <w:pPr>
        <w:spacing w:after="0"/>
        <w:ind w:left="0"/>
        <w:jc w:val="both"/>
      </w:pPr>
      <w:r>
        <w:rPr>
          <w:rFonts w:ascii="Times New Roman"/>
          <w:b w:val="false"/>
          <w:i w:val="false"/>
          <w:color w:val="000000"/>
          <w:sz w:val="28"/>
        </w:rPr>
        <w:t>
      6. Общий допустимый объем пенсионных активов Фонда, передаваемый во внешнее управление одному внешнему управляющему, составляет не более 10 (десяти) процентов портфеля пенсионных активов Фонда в иностранной валюте.</w:t>
      </w:r>
    </w:p>
    <w:bookmarkEnd w:id="28"/>
    <w:bookmarkStart w:name="z32" w:id="29"/>
    <w:p>
      <w:pPr>
        <w:spacing w:after="0"/>
        <w:ind w:left="0"/>
        <w:jc w:val="both"/>
      </w:pPr>
      <w:r>
        <w:rPr>
          <w:rFonts w:ascii="Times New Roman"/>
          <w:b w:val="false"/>
          <w:i w:val="false"/>
          <w:color w:val="000000"/>
          <w:sz w:val="28"/>
        </w:rPr>
        <w:t>
      7. Вид управления активами (активное, пассивное) и параметры эталонного портфеля определяются в рамках осуществления Национальным Банком инвестиционных операций с пенсионными активами Фонда.</w:t>
      </w:r>
    </w:p>
    <w:bookmarkEnd w:id="29"/>
    <w:bookmarkStart w:name="z33" w:id="30"/>
    <w:p>
      <w:pPr>
        <w:spacing w:after="0"/>
        <w:ind w:left="0"/>
        <w:jc w:val="both"/>
      </w:pPr>
      <w:r>
        <w:rPr>
          <w:rFonts w:ascii="Times New Roman"/>
          <w:b w:val="false"/>
          <w:i w:val="false"/>
          <w:color w:val="000000"/>
          <w:sz w:val="28"/>
        </w:rPr>
        <w:t>
      8. Внешнему или внешнему транзитному управляющему выплачивается фиксированное вознаграждение и/или вознаграждение, зависящее от результатов управления, в порядке, определенном договором на инвестиционное управление пенсионными активами Фонда (далее – договор на инвестиционное управление), переданными во внешнее или внешнее транзитное управление.</w:t>
      </w:r>
    </w:p>
    <w:bookmarkEnd w:id="30"/>
    <w:bookmarkStart w:name="z34" w:id="31"/>
    <w:p>
      <w:pPr>
        <w:spacing w:after="0"/>
        <w:ind w:left="0"/>
        <w:jc w:val="left"/>
      </w:pPr>
      <w:r>
        <w:rPr>
          <w:rFonts w:ascii="Times New Roman"/>
          <w:b/>
          <w:i w:val="false"/>
          <w:color w:val="000000"/>
        </w:rPr>
        <w:t xml:space="preserve"> 3. Порядок принятия решения и передачи пенсионных</w:t>
      </w:r>
      <w:r>
        <w:br/>
      </w:r>
      <w:r>
        <w:rPr>
          <w:rFonts w:ascii="Times New Roman"/>
          <w:b/>
          <w:i w:val="false"/>
          <w:color w:val="000000"/>
        </w:rPr>
        <w:t>активов Фонда во внешнее или внешнее транзитное управление</w:t>
      </w:r>
    </w:p>
    <w:bookmarkEnd w:id="31"/>
    <w:bookmarkStart w:name="z35" w:id="32"/>
    <w:p>
      <w:pPr>
        <w:spacing w:after="0"/>
        <w:ind w:left="0"/>
        <w:jc w:val="both"/>
      </w:pPr>
      <w:r>
        <w:rPr>
          <w:rFonts w:ascii="Times New Roman"/>
          <w:b w:val="false"/>
          <w:i w:val="false"/>
          <w:color w:val="000000"/>
          <w:sz w:val="28"/>
        </w:rPr>
        <w:t>
      9. Решение о необходимости передачи пенсионных активов Фонда во внешнее или внешнее транзитное управление принимается Председателем или заместителем Председателя Национального Банка, курирующим уполномоченное подразделение.</w:t>
      </w:r>
    </w:p>
    <w:bookmarkEnd w:id="32"/>
    <w:bookmarkStart w:name="z36" w:id="33"/>
    <w:p>
      <w:pPr>
        <w:spacing w:after="0"/>
        <w:ind w:left="0"/>
        <w:jc w:val="both"/>
      </w:pPr>
      <w:r>
        <w:rPr>
          <w:rFonts w:ascii="Times New Roman"/>
          <w:b w:val="false"/>
          <w:i w:val="false"/>
          <w:color w:val="000000"/>
          <w:sz w:val="28"/>
        </w:rPr>
        <w:t xml:space="preserve">
      10. Если внешний управляющий, осуществляющий внешнее управление золотовалютными активами Национального Банка и (или) активами Национального фонда Республики Казахстан, удовлетворяет критериям, установленным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 по решению Председателя или заместителя Председателя Национального Банка, курирующего уполномоченное подразделение, его кандидатура выносится на рассмотрение Правления Национального Банка без проведения процедур,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Правил.</w:t>
      </w:r>
    </w:p>
    <w:bookmarkEnd w:id="33"/>
    <w:bookmarkStart w:name="z37" w:id="34"/>
    <w:p>
      <w:pPr>
        <w:spacing w:after="0"/>
        <w:ind w:left="0"/>
        <w:jc w:val="both"/>
      </w:pPr>
      <w:r>
        <w:rPr>
          <w:rFonts w:ascii="Times New Roman"/>
          <w:b w:val="false"/>
          <w:i w:val="false"/>
          <w:color w:val="000000"/>
          <w:sz w:val="28"/>
        </w:rPr>
        <w:t>
      11. Уполномоченное подразделение публикует на интернет-ресурсе Национального Банка, в сети Интернет информацию о предстоящем проведении тендера по выбору внешнего управляющего, составляет список потенциальных внешних управляющих, рассылает эту информацию потенциальным внешним управляющим. Информация о предстоящем тендере содержит следующее:</w:t>
      </w:r>
    </w:p>
    <w:bookmarkEnd w:id="34"/>
    <w:p>
      <w:pPr>
        <w:spacing w:after="0"/>
        <w:ind w:left="0"/>
        <w:jc w:val="both"/>
      </w:pPr>
      <w:r>
        <w:rPr>
          <w:rFonts w:ascii="Times New Roman"/>
          <w:b w:val="false"/>
          <w:i w:val="false"/>
          <w:color w:val="000000"/>
          <w:sz w:val="28"/>
        </w:rPr>
        <w:t>
      1) описание типа мандата и его характеристик (эталонный портфель, цели управления, инвестиционные ограничения, приблизительный объем мандата);</w:t>
      </w:r>
    </w:p>
    <w:p>
      <w:pPr>
        <w:spacing w:after="0"/>
        <w:ind w:left="0"/>
        <w:jc w:val="both"/>
      </w:pPr>
      <w:r>
        <w:rPr>
          <w:rFonts w:ascii="Times New Roman"/>
          <w:b w:val="false"/>
          <w:i w:val="false"/>
          <w:color w:val="000000"/>
          <w:sz w:val="28"/>
        </w:rPr>
        <w:t xml:space="preserve">
      2) минимальную информацию, запрашиваемую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и срок представления ответов;</w:t>
      </w:r>
    </w:p>
    <w:p>
      <w:pPr>
        <w:spacing w:after="0"/>
        <w:ind w:left="0"/>
        <w:jc w:val="both"/>
      </w:pPr>
      <w:r>
        <w:rPr>
          <w:rFonts w:ascii="Times New Roman"/>
          <w:b w:val="false"/>
          <w:i w:val="false"/>
          <w:color w:val="000000"/>
          <w:sz w:val="28"/>
        </w:rPr>
        <w:t>
      3) требования к потенциальным внешним управляющим;</w:t>
      </w:r>
    </w:p>
    <w:p>
      <w:pPr>
        <w:spacing w:after="0"/>
        <w:ind w:left="0"/>
        <w:jc w:val="both"/>
      </w:pPr>
      <w:r>
        <w:rPr>
          <w:rFonts w:ascii="Times New Roman"/>
          <w:b w:val="false"/>
          <w:i w:val="false"/>
          <w:color w:val="000000"/>
          <w:sz w:val="28"/>
        </w:rPr>
        <w:t>
      4) сведения о должностных лицах Национального Банка, ответственных за проведение тендера.</w:t>
      </w:r>
    </w:p>
    <w:bookmarkStart w:name="z38" w:id="35"/>
    <w:p>
      <w:pPr>
        <w:spacing w:after="0"/>
        <w:ind w:left="0"/>
        <w:jc w:val="both"/>
      </w:pPr>
      <w:r>
        <w:rPr>
          <w:rFonts w:ascii="Times New Roman"/>
          <w:b w:val="false"/>
          <w:i w:val="false"/>
          <w:color w:val="000000"/>
          <w:sz w:val="28"/>
        </w:rPr>
        <w:t>
      12. Выбор внешних управляющих осуществляется уполномоченным подразделением.</w:t>
      </w:r>
    </w:p>
    <w:bookmarkEnd w:id="35"/>
    <w:bookmarkStart w:name="z39" w:id="36"/>
    <w:p>
      <w:pPr>
        <w:spacing w:after="0"/>
        <w:ind w:left="0"/>
        <w:jc w:val="both"/>
      </w:pPr>
      <w:r>
        <w:rPr>
          <w:rFonts w:ascii="Times New Roman"/>
          <w:b w:val="false"/>
          <w:i w:val="false"/>
          <w:color w:val="000000"/>
          <w:sz w:val="28"/>
        </w:rPr>
        <w:t xml:space="preserve">
      13. Потенциальные внешние управляющие представляют ответы на информацию, запрашиваемую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в электронном виде и/или на бумажном носителе в срок, установленный в информации о предстоящем тендере, но не позднее 1 (одного) месяца со дня опубликования на интернет-ресурсе Национального Банка в сети Интернет информации о предстоящем проведении тендера по выбору внешнего управляющего.</w:t>
      </w:r>
    </w:p>
    <w:bookmarkEnd w:id="36"/>
    <w:bookmarkStart w:name="z40" w:id="37"/>
    <w:p>
      <w:pPr>
        <w:spacing w:after="0"/>
        <w:ind w:left="0"/>
        <w:jc w:val="both"/>
      </w:pPr>
      <w:r>
        <w:rPr>
          <w:rFonts w:ascii="Times New Roman"/>
          <w:b w:val="false"/>
          <w:i w:val="false"/>
          <w:color w:val="000000"/>
          <w:sz w:val="28"/>
        </w:rPr>
        <w:t xml:space="preserve">
      14. Уполномоченное подразделение производит сравнительный анализ всех поступивших предложений, с учетом обязательных критериев выбора внешних управляющих, установленных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w:t>
      </w:r>
    </w:p>
    <w:bookmarkEnd w:id="37"/>
    <w:p>
      <w:pPr>
        <w:spacing w:after="0"/>
        <w:ind w:left="0"/>
        <w:jc w:val="both"/>
      </w:pPr>
      <w:r>
        <w:rPr>
          <w:rFonts w:ascii="Times New Roman"/>
          <w:b w:val="false"/>
          <w:i w:val="false"/>
          <w:color w:val="000000"/>
          <w:sz w:val="28"/>
        </w:rPr>
        <w:t xml:space="preserve">
      В случае если внешний управляющий удовлетворяет обязательным критериям, проводится дальнейшее рассмотрение предложения и сравнительный анализ по оценочным критериям для сравнительного анализа предложений внешних управляющих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Порядок оценки предложения внешнего управляющего в соответствии с таблицей оценочных критериев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Start w:name="z41" w:id="38"/>
    <w:p>
      <w:pPr>
        <w:spacing w:after="0"/>
        <w:ind w:left="0"/>
        <w:jc w:val="both"/>
      </w:pPr>
      <w:r>
        <w:rPr>
          <w:rFonts w:ascii="Times New Roman"/>
          <w:b w:val="false"/>
          <w:i w:val="false"/>
          <w:color w:val="000000"/>
          <w:sz w:val="28"/>
        </w:rPr>
        <w:t>
      15. Обязательные критерии для мандатов, в которых объем передаваемых пенсионных активов Фонда одному внешнему управляющему превышает эквивалент 300 (трехсот) миллионов долларов США, следующие:</w:t>
      </w:r>
    </w:p>
    <w:bookmarkEnd w:id="38"/>
    <w:p>
      <w:pPr>
        <w:spacing w:after="0"/>
        <w:ind w:left="0"/>
        <w:jc w:val="both"/>
      </w:pPr>
      <w:r>
        <w:rPr>
          <w:rFonts w:ascii="Times New Roman"/>
          <w:b w:val="false"/>
          <w:i w:val="false"/>
          <w:color w:val="000000"/>
          <w:sz w:val="28"/>
        </w:rPr>
        <w:t>
      1) не менее 10 (десяти) лет опыта работы с финансовыми инструментами, в которые предполагается инвестировать пенсионные активы Фонда, из которых не менее 5 (пяти) лет опыта работы по объявленному типу мандата.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охватывающие не менее 75 (семидесяти пяти) процентов всего глобального мандата, то опыт работы по этим региональным мандатам составляет не менее 5 (пяти) лет;</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не менее эквивалента 25 (двадцати пяти) миллиардов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 (одного) миллиарда долларов США.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охватывающие не менее 75 (семидесяти пяти) процентов охвата глобального мандата, то размер активов по этим региональным мандатам составляет не менее эквивалента 1 (одного) миллиарда долларов США.</w:t>
      </w:r>
    </w:p>
    <w:bookmarkStart w:name="z42" w:id="39"/>
    <w:p>
      <w:pPr>
        <w:spacing w:after="0"/>
        <w:ind w:left="0"/>
        <w:jc w:val="both"/>
      </w:pPr>
      <w:r>
        <w:rPr>
          <w:rFonts w:ascii="Times New Roman"/>
          <w:b w:val="false"/>
          <w:i w:val="false"/>
          <w:color w:val="000000"/>
          <w:sz w:val="28"/>
        </w:rPr>
        <w:t>
      16. Обязательные критерии для специализированных мандатов, в которых объем передаваемых пенсионных активов Фонда одному внешнему управляющему не превышает эквивалент 300 (трехсот) миллионов долларов США, следующие:</w:t>
      </w:r>
    </w:p>
    <w:bookmarkEnd w:id="39"/>
    <w:p>
      <w:pPr>
        <w:spacing w:after="0"/>
        <w:ind w:left="0"/>
        <w:jc w:val="both"/>
      </w:pPr>
      <w:r>
        <w:rPr>
          <w:rFonts w:ascii="Times New Roman"/>
          <w:b w:val="false"/>
          <w:i w:val="false"/>
          <w:color w:val="000000"/>
          <w:sz w:val="28"/>
        </w:rPr>
        <w:t>
      1) не менее 5 (пяти) лет опыта работы с финансовыми инструментами, в которые предполагается инвестировать пенсионные активы Фонда, из которых не менее 3 (трех) лет опыта работы по объявленному типу мандата.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охватывающие не менее 75 (семидесяти пяти) процентов всего глобального мандата, то опыт работы по этим региональным мандатам составляет не менее 3 (трех) лет;</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составляет не менее 1 (одного) миллиарда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 внешний управляющий имеет по рассматриваемому типу мандата совокупные активы клиентов не менее эквивалента 150 (ста пятидесяти) миллионов долларов США.</w:t>
      </w:r>
    </w:p>
    <w:p>
      <w:pPr>
        <w:spacing w:after="0"/>
        <w:ind w:left="0"/>
        <w:jc w:val="both"/>
      </w:pP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охватывающие не менее 75 (семидесяти пяти) процентов охвата глобального мандата, то размер активов по этим региональным мандатам составляет не менее эквивалента 150 (ста пятидесяти) миллионов долларов США.</w:t>
      </w:r>
    </w:p>
    <w:p>
      <w:pPr>
        <w:spacing w:after="0"/>
        <w:ind w:left="0"/>
        <w:jc w:val="both"/>
      </w:pPr>
      <w:r>
        <w:rPr>
          <w:rFonts w:ascii="Times New Roman"/>
          <w:b w:val="false"/>
          <w:i w:val="false"/>
          <w:color w:val="000000"/>
          <w:sz w:val="28"/>
        </w:rPr>
        <w:t xml:space="preserve">
      После начала действия специализированного мандата одному внешнему управляющему по результатам его управления передаются пенсионные активы в размере, превышающем 300 (триста) миллионов долларов США, но не более ограничения, указанного в </w:t>
      </w:r>
      <w:r>
        <w:rPr>
          <w:rFonts w:ascii="Times New Roman"/>
          <w:b w:val="false"/>
          <w:i w:val="false"/>
          <w:color w:val="000000"/>
          <w:sz w:val="28"/>
        </w:rPr>
        <w:t>пункте 6</w:t>
      </w:r>
      <w:r>
        <w:rPr>
          <w:rFonts w:ascii="Times New Roman"/>
          <w:b w:val="false"/>
          <w:i w:val="false"/>
          <w:color w:val="000000"/>
          <w:sz w:val="28"/>
        </w:rPr>
        <w:t xml:space="preserve"> Правил.</w:t>
      </w:r>
    </w:p>
    <w:bookmarkStart w:name="z43" w:id="40"/>
    <w:p>
      <w:pPr>
        <w:spacing w:after="0"/>
        <w:ind w:left="0"/>
        <w:jc w:val="both"/>
      </w:pPr>
      <w:r>
        <w:rPr>
          <w:rFonts w:ascii="Times New Roman"/>
          <w:b w:val="false"/>
          <w:i w:val="false"/>
          <w:color w:val="000000"/>
          <w:sz w:val="28"/>
        </w:rPr>
        <w:t>
      17. Допускается обращение Национального Банка с запросом о результатах и качестве управления внешнего управляющего к его клиентам.</w:t>
      </w:r>
    </w:p>
    <w:bookmarkEnd w:id="40"/>
    <w:bookmarkStart w:name="z44" w:id="41"/>
    <w:p>
      <w:pPr>
        <w:spacing w:after="0"/>
        <w:ind w:left="0"/>
        <w:jc w:val="both"/>
      </w:pPr>
      <w:r>
        <w:rPr>
          <w:rFonts w:ascii="Times New Roman"/>
          <w:b w:val="false"/>
          <w:i w:val="false"/>
          <w:color w:val="000000"/>
          <w:sz w:val="28"/>
        </w:rPr>
        <w:t>
      18. Срок подготовки заключения по анализу предложений внешних управляющих составляет не более 2 (двух) месяцев со дня представления внешними управляющими запрашиваемой информации.</w:t>
      </w:r>
    </w:p>
    <w:bookmarkEnd w:id="41"/>
    <w:bookmarkStart w:name="z45" w:id="42"/>
    <w:p>
      <w:pPr>
        <w:spacing w:after="0"/>
        <w:ind w:left="0"/>
        <w:jc w:val="both"/>
      </w:pPr>
      <w:r>
        <w:rPr>
          <w:rFonts w:ascii="Times New Roman"/>
          <w:b w:val="false"/>
          <w:i w:val="false"/>
          <w:color w:val="000000"/>
          <w:sz w:val="28"/>
        </w:rPr>
        <w:t>
      19. Подготовленное уполномоченным подразделением заключение, содержащее сравнительный анализ предложений по внешнему управлению и рекомендации по выбору внешнего управляющего, передается на рассмотрение Председателю или заместителю Председателя Национального Банка, курирующему уполномоченное подразделение, который по результатам рассмотрения утверждает наиболее выгодные предложения внешних управляющих (короткий список - short list). Уполномоченное подразделение проводит переговоры с потенциальными внешними управляющими из короткого списка - short list для целей улучшения условий предложения.</w:t>
      </w:r>
    </w:p>
    <w:bookmarkEnd w:id="42"/>
    <w:bookmarkStart w:name="z46" w:id="43"/>
    <w:p>
      <w:pPr>
        <w:spacing w:after="0"/>
        <w:ind w:left="0"/>
        <w:jc w:val="both"/>
      </w:pPr>
      <w:r>
        <w:rPr>
          <w:rFonts w:ascii="Times New Roman"/>
          <w:b w:val="false"/>
          <w:i w:val="false"/>
          <w:color w:val="000000"/>
          <w:sz w:val="28"/>
        </w:rPr>
        <w:t>
      20. Допускается проведение встреч с потенциальными внешними управляющими для получения более детальной и точной информации о внешнем управляющем, порядке принятия инвестиционных решений и процедурах контроля за рисками.</w:t>
      </w:r>
    </w:p>
    <w:bookmarkEnd w:id="43"/>
    <w:bookmarkStart w:name="z47" w:id="44"/>
    <w:p>
      <w:pPr>
        <w:spacing w:after="0"/>
        <w:ind w:left="0"/>
        <w:jc w:val="both"/>
      </w:pPr>
      <w:r>
        <w:rPr>
          <w:rFonts w:ascii="Times New Roman"/>
          <w:b w:val="false"/>
          <w:i w:val="false"/>
          <w:color w:val="000000"/>
          <w:sz w:val="28"/>
        </w:rPr>
        <w:t>
      21. Каждый внешний управляющий утверждается решением Правления Национального Банка, предусматривающим заключение договора на инвестиционное управление между Национальным Банком и внешним управляющим.</w:t>
      </w:r>
    </w:p>
    <w:bookmarkEnd w:id="44"/>
    <w:bookmarkStart w:name="z48" w:id="45"/>
    <w:p>
      <w:pPr>
        <w:spacing w:after="0"/>
        <w:ind w:left="0"/>
        <w:jc w:val="both"/>
      </w:pPr>
      <w:r>
        <w:rPr>
          <w:rFonts w:ascii="Times New Roman"/>
          <w:b w:val="false"/>
          <w:i w:val="false"/>
          <w:color w:val="000000"/>
          <w:sz w:val="28"/>
        </w:rPr>
        <w:t>
      22. Уполномоченное подразделение после утверждения Правлением Национального Банка внешнего управляющего представляет каждому участнику тендера уведомление об итоге тендера.</w:t>
      </w:r>
    </w:p>
    <w:bookmarkEnd w:id="45"/>
    <w:bookmarkStart w:name="z49" w:id="46"/>
    <w:p>
      <w:pPr>
        <w:spacing w:after="0"/>
        <w:ind w:left="0"/>
        <w:jc w:val="both"/>
      </w:pPr>
      <w:r>
        <w:rPr>
          <w:rFonts w:ascii="Times New Roman"/>
          <w:b w:val="false"/>
          <w:i w:val="false"/>
          <w:color w:val="000000"/>
          <w:sz w:val="28"/>
        </w:rPr>
        <w:t>
      23. Передача пенсионных активов Фонда во внешнее транзитное управление осуществляется после подписания договора на инвестиционное управление с внешним транзитным управляющим.</w:t>
      </w:r>
    </w:p>
    <w:bookmarkEnd w:id="46"/>
    <w:bookmarkStart w:name="z50" w:id="47"/>
    <w:p>
      <w:pPr>
        <w:spacing w:after="0"/>
        <w:ind w:left="0"/>
        <w:jc w:val="both"/>
      </w:pPr>
      <w:r>
        <w:rPr>
          <w:rFonts w:ascii="Times New Roman"/>
          <w:b w:val="false"/>
          <w:i w:val="false"/>
          <w:color w:val="000000"/>
          <w:sz w:val="28"/>
        </w:rPr>
        <w:t>
      24. На основании решения Правления Национального Банка об утверждении внешнего управляющего, уполномоченное подразделение проводит процедуру подготовки и заключения договора на инвестиционное управление с внешним управляющим и осуществляет дальнейший мониторинг и контроль за выполнением всех условий договора на инвестиционное управление с внешним управляющим Фонда.</w:t>
      </w:r>
    </w:p>
    <w:bookmarkEnd w:id="47"/>
    <w:bookmarkStart w:name="z51" w:id="48"/>
    <w:p>
      <w:pPr>
        <w:spacing w:after="0"/>
        <w:ind w:left="0"/>
        <w:jc w:val="left"/>
      </w:pPr>
      <w:r>
        <w:rPr>
          <w:rFonts w:ascii="Times New Roman"/>
          <w:b/>
          <w:i w:val="false"/>
          <w:color w:val="000000"/>
        </w:rPr>
        <w:t xml:space="preserve"> 4. Условия договора на инвестиционное управление</w:t>
      </w:r>
      <w:r>
        <w:br/>
      </w:r>
      <w:r>
        <w:rPr>
          <w:rFonts w:ascii="Times New Roman"/>
          <w:b/>
          <w:i w:val="false"/>
          <w:color w:val="000000"/>
        </w:rPr>
        <w:t>пенсионными активами Фонда, переданными во внешнее управление</w:t>
      </w:r>
    </w:p>
    <w:bookmarkEnd w:id="48"/>
    <w:bookmarkStart w:name="z52" w:id="49"/>
    <w:p>
      <w:pPr>
        <w:spacing w:after="0"/>
        <w:ind w:left="0"/>
        <w:jc w:val="both"/>
      </w:pPr>
      <w:r>
        <w:rPr>
          <w:rFonts w:ascii="Times New Roman"/>
          <w:b w:val="false"/>
          <w:i w:val="false"/>
          <w:color w:val="000000"/>
          <w:sz w:val="28"/>
        </w:rPr>
        <w:t>
      25. В договоре на инвестиционное управление пенсионными активами Фонда (далее – договор на инвестиционное управление) с внешним управляющим содержатся следующие условия:</w:t>
      </w:r>
    </w:p>
    <w:bookmarkEnd w:id="49"/>
    <w:p>
      <w:pPr>
        <w:spacing w:after="0"/>
        <w:ind w:left="0"/>
        <w:jc w:val="both"/>
      </w:pPr>
      <w:r>
        <w:rPr>
          <w:rFonts w:ascii="Times New Roman"/>
          <w:b w:val="false"/>
          <w:i w:val="false"/>
          <w:color w:val="000000"/>
          <w:sz w:val="28"/>
        </w:rPr>
        <w:t>
      1) право Национального Банка в любой момент досрочно расторгнуть договор на инвестиционное управление с внешним управляющим без объяснения причин;</w:t>
      </w:r>
    </w:p>
    <w:p>
      <w:pPr>
        <w:spacing w:after="0"/>
        <w:ind w:left="0"/>
        <w:jc w:val="both"/>
      </w:pPr>
      <w:r>
        <w:rPr>
          <w:rFonts w:ascii="Times New Roman"/>
          <w:b w:val="false"/>
          <w:i w:val="false"/>
          <w:color w:val="000000"/>
          <w:sz w:val="28"/>
        </w:rPr>
        <w:t>
      2) право Национального Банка по своему усмотрению пополнять/отзывать часть пенсионных активов Фонда, находящихся во внешнем управлении;</w:t>
      </w:r>
    </w:p>
    <w:p>
      <w:pPr>
        <w:spacing w:after="0"/>
        <w:ind w:left="0"/>
        <w:jc w:val="both"/>
      </w:pPr>
      <w:r>
        <w:rPr>
          <w:rFonts w:ascii="Times New Roman"/>
          <w:b w:val="false"/>
          <w:i w:val="false"/>
          <w:color w:val="000000"/>
          <w:sz w:val="28"/>
        </w:rPr>
        <w:t>
      3) подписание договора на инвестиционное управление на государственном и на приемлемом для сторон языке;</w:t>
      </w:r>
    </w:p>
    <w:p>
      <w:pPr>
        <w:spacing w:after="0"/>
        <w:ind w:left="0"/>
        <w:jc w:val="both"/>
      </w:pPr>
      <w:r>
        <w:rPr>
          <w:rFonts w:ascii="Times New Roman"/>
          <w:b w:val="false"/>
          <w:i w:val="false"/>
          <w:color w:val="000000"/>
          <w:sz w:val="28"/>
        </w:rPr>
        <w:t>
      4) представление внешним управляющим информации о передвижении его персонала, ответственного за управление пенсионными активами Фонда, переданными во внешнее управление;</w:t>
      </w:r>
    </w:p>
    <w:p>
      <w:pPr>
        <w:spacing w:after="0"/>
        <w:ind w:left="0"/>
        <w:jc w:val="both"/>
      </w:pPr>
      <w:r>
        <w:rPr>
          <w:rFonts w:ascii="Times New Roman"/>
          <w:b w:val="false"/>
          <w:i w:val="false"/>
          <w:color w:val="000000"/>
          <w:sz w:val="28"/>
        </w:rPr>
        <w:t>
      5) посещение внешнего управляющего специалистами Национального Банка, Фонда и независимыми аудиторами для целей проверки операций по счету, а также получения более детальной и точной информации о внешнем управляющем, порядке принятия инвестиционных решений и процедурах контроля за рисками;</w:t>
      </w:r>
    </w:p>
    <w:p>
      <w:pPr>
        <w:spacing w:after="0"/>
        <w:ind w:left="0"/>
        <w:jc w:val="both"/>
      </w:pPr>
      <w:r>
        <w:rPr>
          <w:rFonts w:ascii="Times New Roman"/>
          <w:b w:val="false"/>
          <w:i w:val="false"/>
          <w:color w:val="000000"/>
          <w:sz w:val="28"/>
        </w:rPr>
        <w:t>
      6) невозможность использования в качестве брокеров по сделкам с пенсионными активами Фонда, переданными во внешнее управление, аффилированных с внешним управляющим организаций;</w:t>
      </w:r>
    </w:p>
    <w:p>
      <w:pPr>
        <w:spacing w:after="0"/>
        <w:ind w:left="0"/>
        <w:jc w:val="both"/>
      </w:pPr>
      <w:r>
        <w:rPr>
          <w:rFonts w:ascii="Times New Roman"/>
          <w:b w:val="false"/>
          <w:i w:val="false"/>
          <w:color w:val="000000"/>
          <w:sz w:val="28"/>
        </w:rPr>
        <w:t>
      7) об ответственности внешнего управляющего за нарушение установленного лимита ожидаемой изменчивости отклонения доходности (еxpected tracking error);</w:t>
      </w:r>
    </w:p>
    <w:p>
      <w:pPr>
        <w:spacing w:after="0"/>
        <w:ind w:left="0"/>
        <w:jc w:val="both"/>
      </w:pPr>
      <w:r>
        <w:rPr>
          <w:rFonts w:ascii="Times New Roman"/>
          <w:b w:val="false"/>
          <w:i w:val="false"/>
          <w:color w:val="000000"/>
          <w:sz w:val="28"/>
        </w:rPr>
        <w:t>
      8) об ответственности за возможные убытки, причиненные Фонду вследствие небрежности, преднамеренного невыполнения обязательств или мошенничества со стороны внешнего управляющего;</w:t>
      </w:r>
    </w:p>
    <w:p>
      <w:pPr>
        <w:spacing w:after="0"/>
        <w:ind w:left="0"/>
        <w:jc w:val="both"/>
      </w:pPr>
      <w:r>
        <w:rPr>
          <w:rFonts w:ascii="Times New Roman"/>
          <w:b w:val="false"/>
          <w:i w:val="false"/>
          <w:color w:val="000000"/>
          <w:sz w:val="28"/>
        </w:rPr>
        <w:t>
      9) консультирование, обучение или стажировка сотрудников Национального Банка и Фонда, осуществляющих управление и мониторинг пенсионных активов Фонда;</w:t>
      </w:r>
    </w:p>
    <w:p>
      <w:pPr>
        <w:spacing w:after="0"/>
        <w:ind w:left="0"/>
        <w:jc w:val="both"/>
      </w:pPr>
      <w:r>
        <w:rPr>
          <w:rFonts w:ascii="Times New Roman"/>
          <w:b w:val="false"/>
          <w:i w:val="false"/>
          <w:color w:val="000000"/>
          <w:sz w:val="28"/>
        </w:rPr>
        <w:t>
      10) в случае расторжения договора на инвестиционное управление внешний управляющий представляет сверенную с банком(-ами)-кастодианом(-ами) полную отчетность по портфелю на дату расторжения;</w:t>
      </w:r>
    </w:p>
    <w:p>
      <w:pPr>
        <w:spacing w:after="0"/>
        <w:ind w:left="0"/>
        <w:jc w:val="both"/>
      </w:pPr>
      <w:r>
        <w:rPr>
          <w:rFonts w:ascii="Times New Roman"/>
          <w:b w:val="false"/>
          <w:i w:val="false"/>
          <w:color w:val="000000"/>
          <w:sz w:val="28"/>
        </w:rPr>
        <w:t>
      11) внешний управляющий на регулярной основе представляет Национальному Банку отчетность в соответствии со следующими основными направлениями:</w:t>
      </w:r>
    </w:p>
    <w:p>
      <w:pPr>
        <w:spacing w:after="0"/>
        <w:ind w:left="0"/>
        <w:jc w:val="both"/>
      </w:pPr>
      <w:r>
        <w:rPr>
          <w:rFonts w:ascii="Times New Roman"/>
          <w:b w:val="false"/>
          <w:i w:val="false"/>
          <w:color w:val="000000"/>
          <w:sz w:val="28"/>
        </w:rPr>
        <w:t>
      ежедневная отчетность по совершенным за предыдущий рабочий день операциям;</w:t>
      </w:r>
    </w:p>
    <w:p>
      <w:pPr>
        <w:spacing w:after="0"/>
        <w:ind w:left="0"/>
        <w:jc w:val="both"/>
      </w:pPr>
      <w:r>
        <w:rPr>
          <w:rFonts w:ascii="Times New Roman"/>
          <w:b w:val="false"/>
          <w:i w:val="false"/>
          <w:color w:val="000000"/>
          <w:sz w:val="28"/>
        </w:rPr>
        <w:t>
      ежедневная отчетность по позициям портфеля за предыдущий рабочий день;</w:t>
      </w:r>
    </w:p>
    <w:p>
      <w:pPr>
        <w:spacing w:after="0"/>
        <w:ind w:left="0"/>
        <w:jc w:val="both"/>
      </w:pPr>
      <w:r>
        <w:rPr>
          <w:rFonts w:ascii="Times New Roman"/>
          <w:b w:val="false"/>
          <w:i w:val="false"/>
          <w:color w:val="000000"/>
          <w:sz w:val="28"/>
        </w:rPr>
        <w:t>
      оценка портфеля (распределение активов по различным классам и видам валют, состав портфеля на конец отчетного месяца, рыночная стоимость активов на конец отчетного месяца);</w:t>
      </w:r>
    </w:p>
    <w:p>
      <w:pPr>
        <w:spacing w:after="0"/>
        <w:ind w:left="0"/>
        <w:jc w:val="both"/>
      </w:pPr>
      <w:r>
        <w:rPr>
          <w:rFonts w:ascii="Times New Roman"/>
          <w:b w:val="false"/>
          <w:i w:val="false"/>
          <w:color w:val="000000"/>
          <w:sz w:val="28"/>
        </w:rPr>
        <w:t>
      анализ результатов управления портфелем (ежемесячные и общие результаты по управлению портфелем в разрезе достигнутой доходности, показателей риска портфеля и уровня изменчивости отклонения доходности (tracking error) в сравнении с эталонным портфелем);</w:t>
      </w:r>
    </w:p>
    <w:p>
      <w:pPr>
        <w:spacing w:after="0"/>
        <w:ind w:left="0"/>
        <w:jc w:val="both"/>
      </w:pPr>
      <w:r>
        <w:rPr>
          <w:rFonts w:ascii="Times New Roman"/>
          <w:b w:val="false"/>
          <w:i w:val="false"/>
          <w:color w:val="000000"/>
          <w:sz w:val="28"/>
        </w:rPr>
        <w:t>
      экономический отчет о состоянии рынков, текущие стратегии и объяснение наиболее важных изменений в структуре управления и их влиянии на портфель в виде презентаций во время визитов внешних управляющих или посредством телефонных конференций;</w:t>
      </w:r>
    </w:p>
    <w:p>
      <w:pPr>
        <w:spacing w:after="0"/>
        <w:ind w:left="0"/>
        <w:jc w:val="both"/>
      </w:pPr>
      <w:r>
        <w:rPr>
          <w:rFonts w:ascii="Times New Roman"/>
          <w:b w:val="false"/>
          <w:i w:val="false"/>
          <w:color w:val="000000"/>
          <w:sz w:val="28"/>
        </w:rPr>
        <w:t>
      вклад различных факторов в доходность портфеля (performance attribution report) для активного типа мандата с периодичностью на конец каждого квартала и года;</w:t>
      </w:r>
    </w:p>
    <w:p>
      <w:pPr>
        <w:spacing w:after="0"/>
        <w:ind w:left="0"/>
        <w:jc w:val="both"/>
      </w:pPr>
      <w:r>
        <w:rPr>
          <w:rFonts w:ascii="Times New Roman"/>
          <w:b w:val="false"/>
          <w:i w:val="false"/>
          <w:color w:val="000000"/>
          <w:sz w:val="28"/>
        </w:rPr>
        <w:t>
      12) ежемесячно на конец каждого месяца внешний управляющий проводит сверку (reconciliation) состава портфеля, переданного во внешнее управление, с данными банка(-ов)-кастодиана(-ов) в соответствии со сроками, предусмотренными договором на инвестиционное управление;</w:t>
      </w:r>
    </w:p>
    <w:p>
      <w:pPr>
        <w:spacing w:after="0"/>
        <w:ind w:left="0"/>
        <w:jc w:val="both"/>
      </w:pPr>
      <w:r>
        <w:rPr>
          <w:rFonts w:ascii="Times New Roman"/>
          <w:b w:val="false"/>
          <w:i w:val="false"/>
          <w:color w:val="000000"/>
          <w:sz w:val="28"/>
        </w:rPr>
        <w:t>
      13) возможность внесения изменений и дополнений в договор на инвестиционное управление с письменного согласия обеих сторон.</w:t>
      </w:r>
    </w:p>
    <w:p>
      <w:pPr>
        <w:spacing w:after="0"/>
        <w:ind w:left="0"/>
        <w:jc w:val="both"/>
      </w:pPr>
      <w:r>
        <w:rPr>
          <w:rFonts w:ascii="Times New Roman"/>
          <w:b w:val="false"/>
          <w:i w:val="false"/>
          <w:color w:val="000000"/>
          <w:sz w:val="28"/>
        </w:rPr>
        <w:t>
      Национальный Банк рассматривает предложения внешнего управляющего при его согласии с условиями договора на инвестиционное управление, предусмотренными настоящим пунктом.</w:t>
      </w:r>
    </w:p>
    <w:bookmarkStart w:name="z53" w:id="50"/>
    <w:p>
      <w:pPr>
        <w:spacing w:after="0"/>
        <w:ind w:left="0"/>
        <w:jc w:val="both"/>
      </w:pPr>
      <w:r>
        <w:rPr>
          <w:rFonts w:ascii="Times New Roman"/>
          <w:b w:val="false"/>
          <w:i w:val="false"/>
          <w:color w:val="000000"/>
          <w:sz w:val="28"/>
        </w:rPr>
        <w:t>
      26. Договор на инвестиционное управление со стороны Национального Банка подписывается Председателем или заместителем Председателя Национального Банка, курирующим уполномоченное подразделение.</w:t>
      </w:r>
    </w:p>
    <w:bookmarkEnd w:id="50"/>
    <w:bookmarkStart w:name="z54" w:id="51"/>
    <w:p>
      <w:pPr>
        <w:spacing w:after="0"/>
        <w:ind w:left="0"/>
        <w:jc w:val="both"/>
      </w:pPr>
      <w:r>
        <w:rPr>
          <w:rFonts w:ascii="Times New Roman"/>
          <w:b w:val="false"/>
          <w:i w:val="false"/>
          <w:color w:val="000000"/>
          <w:sz w:val="28"/>
        </w:rPr>
        <w:t>
      27. В соответствии с подписанным договором на инвестиционное управление Национальный Банк осуществляет передачу части пенсионных активов Фонда во внешнее управление путем перевода денег и/или ценных бумаг на счета Национального Банка у банка(-ов)-кастодиана(-ов), предназначенные для внешнего управления.</w:t>
      </w:r>
    </w:p>
    <w:bookmarkEnd w:id="51"/>
    <w:bookmarkStart w:name="z55" w:id="52"/>
    <w:p>
      <w:pPr>
        <w:spacing w:after="0"/>
        <w:ind w:left="0"/>
        <w:jc w:val="both"/>
      </w:pPr>
      <w:r>
        <w:rPr>
          <w:rFonts w:ascii="Times New Roman"/>
          <w:b w:val="false"/>
          <w:i w:val="false"/>
          <w:color w:val="000000"/>
          <w:sz w:val="28"/>
        </w:rPr>
        <w:t>
      28. При передаче пенсионных активов Фонда во внешнее управление учитывается переходный период по переводу активов из одного вида в другой (transition period). Длительность переходного периода не превышает 30 (тридцать) рабочих дней.</w:t>
      </w:r>
    </w:p>
    <w:bookmarkEnd w:id="52"/>
    <w:bookmarkStart w:name="z56" w:id="53"/>
    <w:p>
      <w:pPr>
        <w:spacing w:after="0"/>
        <w:ind w:left="0"/>
        <w:jc w:val="both"/>
      </w:pPr>
      <w:r>
        <w:rPr>
          <w:rFonts w:ascii="Times New Roman"/>
          <w:b w:val="false"/>
          <w:i w:val="false"/>
          <w:color w:val="000000"/>
          <w:sz w:val="28"/>
        </w:rPr>
        <w:t>
      29. Часть пенсионных активов Фонда, передаваемая во внешнее управление, хранится на счетах Национального Банка в банке(-ах)-кастодиане(-ах) и на маржевом счете у клиринговой(-ых) организации(-ий) Фонда, с разрешения Национального Банка.</w:t>
      </w:r>
    </w:p>
    <w:bookmarkEnd w:id="53"/>
    <w:bookmarkStart w:name="z57" w:id="54"/>
    <w:p>
      <w:pPr>
        <w:spacing w:after="0"/>
        <w:ind w:left="0"/>
        <w:jc w:val="both"/>
      </w:pPr>
      <w:r>
        <w:rPr>
          <w:rFonts w:ascii="Times New Roman"/>
          <w:b w:val="false"/>
          <w:i w:val="false"/>
          <w:color w:val="000000"/>
          <w:sz w:val="28"/>
        </w:rPr>
        <w:t>
      30. Условия и ограничения договора на инвестиционное управление отвечают условиям и ограничениям, установленным в рамках осуществления Национальным Банком инвестиционных операций с пенсионными активами Фонда.</w:t>
      </w:r>
    </w:p>
    <w:bookmarkEnd w:id="54"/>
    <w:bookmarkStart w:name="z58" w:id="55"/>
    <w:p>
      <w:pPr>
        <w:spacing w:after="0"/>
        <w:ind w:left="0"/>
        <w:jc w:val="both"/>
      </w:pPr>
      <w:r>
        <w:rPr>
          <w:rFonts w:ascii="Times New Roman"/>
          <w:b w:val="false"/>
          <w:i w:val="false"/>
          <w:color w:val="000000"/>
          <w:sz w:val="28"/>
        </w:rPr>
        <w:t xml:space="preserve">
      31. Требования, установленные настоящей главой, за исключением подпунктов 4), 6), 7), 9), 11), 12) </w:t>
      </w:r>
      <w:r>
        <w:rPr>
          <w:rFonts w:ascii="Times New Roman"/>
          <w:b w:val="false"/>
          <w:i w:val="false"/>
          <w:color w:val="000000"/>
          <w:sz w:val="28"/>
        </w:rPr>
        <w:t>пункта 25</w:t>
      </w:r>
      <w:r>
        <w:rPr>
          <w:rFonts w:ascii="Times New Roman"/>
          <w:b w:val="false"/>
          <w:i w:val="false"/>
          <w:color w:val="000000"/>
          <w:sz w:val="28"/>
        </w:rPr>
        <w:t xml:space="preserve"> Правил, распространяются на отношения, возникающие между Национальным Банком и внешним транзитным управляющим при осуществлении последним внешнего транзитного управления.</w:t>
      </w:r>
    </w:p>
    <w:bookmarkEnd w:id="55"/>
    <w:bookmarkStart w:name="z59" w:id="56"/>
    <w:p>
      <w:pPr>
        <w:spacing w:after="0"/>
        <w:ind w:left="0"/>
        <w:jc w:val="left"/>
      </w:pPr>
      <w:r>
        <w:rPr>
          <w:rFonts w:ascii="Times New Roman"/>
          <w:b/>
          <w:i w:val="false"/>
          <w:color w:val="000000"/>
        </w:rPr>
        <w:t xml:space="preserve"> 5. Результаты внешнего управления и мониторинг</w:t>
      </w:r>
    </w:p>
    <w:bookmarkEnd w:id="56"/>
    <w:bookmarkStart w:name="z60" w:id="57"/>
    <w:p>
      <w:pPr>
        <w:spacing w:after="0"/>
        <w:ind w:left="0"/>
        <w:jc w:val="both"/>
      </w:pPr>
      <w:r>
        <w:rPr>
          <w:rFonts w:ascii="Times New Roman"/>
          <w:b w:val="false"/>
          <w:i w:val="false"/>
          <w:color w:val="000000"/>
          <w:sz w:val="28"/>
        </w:rPr>
        <w:t>
      32. С момента передачи пенсионных активов Фонда во внешнее управление уполномоченным подразделением проводится ежедневный мониторинг деятельности внешнего управляющего: проверяется соответствие ограничениям, указанным в договоре на инвестиционное управление, осуществляется мониторинг за сделками, совершаемыми внешним управляющим, оцениваются показатели риска и доходности портфеля во внешнем управлении.</w:t>
      </w:r>
    </w:p>
    <w:bookmarkEnd w:id="57"/>
    <w:bookmarkStart w:name="z61" w:id="58"/>
    <w:p>
      <w:pPr>
        <w:spacing w:after="0"/>
        <w:ind w:left="0"/>
        <w:jc w:val="both"/>
      </w:pPr>
      <w:r>
        <w:rPr>
          <w:rFonts w:ascii="Times New Roman"/>
          <w:b w:val="false"/>
          <w:i w:val="false"/>
          <w:color w:val="000000"/>
          <w:sz w:val="28"/>
        </w:rPr>
        <w:t xml:space="preserve">
      33. Оценка эффективности работы внешнего управляющего проводится на основе показателей оценки эффективности работы внешнего управляющего,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Правилам, и качества предоставленного специалистам Национального Банка и Фонда обучения и технологий.</w:t>
      </w:r>
    </w:p>
    <w:bookmarkEnd w:id="58"/>
    <w:bookmarkStart w:name="z62" w:id="59"/>
    <w:p>
      <w:pPr>
        <w:spacing w:after="0"/>
        <w:ind w:left="0"/>
        <w:jc w:val="both"/>
      </w:pPr>
      <w:r>
        <w:rPr>
          <w:rFonts w:ascii="Times New Roman"/>
          <w:b w:val="false"/>
          <w:i w:val="false"/>
          <w:color w:val="000000"/>
          <w:sz w:val="28"/>
        </w:rPr>
        <w:t>
      34. С периодичностью один раз в год уполномоченное подразделение проводит встречу с внешним управляющим, на которой внешний управляющий отчитывается о результатах управления, об исполнении инвестиционных ограничений, дает оценку рыночной ситуации и ее возможном влиянии на портфель и на стратегию управления.</w:t>
      </w:r>
    </w:p>
    <w:bookmarkEnd w:id="59"/>
    <w:bookmarkStart w:name="z63" w:id="60"/>
    <w:p>
      <w:pPr>
        <w:spacing w:after="0"/>
        <w:ind w:left="0"/>
        <w:jc w:val="both"/>
      </w:pPr>
      <w:r>
        <w:rPr>
          <w:rFonts w:ascii="Times New Roman"/>
          <w:b w:val="false"/>
          <w:i w:val="false"/>
          <w:color w:val="000000"/>
          <w:sz w:val="28"/>
        </w:rPr>
        <w:t xml:space="preserve">
      35. Процедура оценки эффективности работы внешнего управляющего осуществляется в соответствии с показателями оценки эффективности работы внешнего управляющего, приведенными в </w:t>
      </w:r>
      <w:r>
        <w:rPr>
          <w:rFonts w:ascii="Times New Roman"/>
          <w:b w:val="false"/>
          <w:i w:val="false"/>
          <w:color w:val="000000"/>
          <w:sz w:val="28"/>
        </w:rPr>
        <w:t>приложении 4</w:t>
      </w:r>
      <w:r>
        <w:rPr>
          <w:rFonts w:ascii="Times New Roman"/>
          <w:b w:val="false"/>
          <w:i w:val="false"/>
          <w:color w:val="000000"/>
          <w:sz w:val="28"/>
        </w:rPr>
        <w:t xml:space="preserve"> к Правилам, и по результатам проведенного анализа Правлением Национального Банка, принимается соответствующее решение о продолжении работы с данным внешним управляющим или о ее прекращении. Решение принимается на основе результатов внешнего управляющего за период управления в 3 (три) года.</w:t>
      </w:r>
    </w:p>
    <w:bookmarkEnd w:id="60"/>
    <w:bookmarkStart w:name="z64" w:id="61"/>
    <w:p>
      <w:pPr>
        <w:spacing w:after="0"/>
        <w:ind w:left="0"/>
        <w:jc w:val="both"/>
      </w:pPr>
      <w:r>
        <w:rPr>
          <w:rFonts w:ascii="Times New Roman"/>
          <w:b w:val="false"/>
          <w:i w:val="false"/>
          <w:color w:val="000000"/>
          <w:sz w:val="28"/>
        </w:rPr>
        <w:t>
      36. В случае если кумулятивная сверхдоходность, полученная внешним управляющим за прошлый двухлетний период, отрицательна, и ее абсолютное значение превышает абсолютное значение установленного лимита показателя изменчивости отклонения доходности (tracking error) по соответствующему мандату, то на рассмотрение Правления Национального Банка выносится вопрос о расторжении договора на инвестиционное управление с данным внешним управляющим.</w:t>
      </w:r>
    </w:p>
    <w:bookmarkEnd w:id="61"/>
    <w:bookmarkStart w:name="z65" w:id="62"/>
    <w:p>
      <w:pPr>
        <w:spacing w:after="0"/>
        <w:ind w:left="0"/>
        <w:jc w:val="both"/>
      </w:pPr>
      <w:r>
        <w:rPr>
          <w:rFonts w:ascii="Times New Roman"/>
          <w:b w:val="false"/>
          <w:i w:val="false"/>
          <w:color w:val="000000"/>
          <w:sz w:val="28"/>
        </w:rPr>
        <w:t xml:space="preserve">
      37. Если происходит нарушение лимита, установленного </w:t>
      </w:r>
      <w:r>
        <w:rPr>
          <w:rFonts w:ascii="Times New Roman"/>
          <w:b w:val="false"/>
          <w:i w:val="false"/>
          <w:color w:val="000000"/>
          <w:sz w:val="28"/>
        </w:rPr>
        <w:t>пунктом 6</w:t>
      </w:r>
      <w:r>
        <w:rPr>
          <w:rFonts w:ascii="Times New Roman"/>
          <w:b w:val="false"/>
          <w:i w:val="false"/>
          <w:color w:val="000000"/>
          <w:sz w:val="28"/>
        </w:rPr>
        <w:t xml:space="preserve"> Правил, передаваемого во внешнее управление ввиду слияния двух действующих внешних управляющих, уполномоченное подразделение, вносит на рассмотрение Председателя или заместителя Председателя Национального Банка, курирующего уполномоченное подразделение, вопрос о расторжении договора на инвестиционное управление с одним из двух внешних управляющих, показавшим низкий результат, согласно показателям оценки эффективности работы внешнего управляющего, приведенным в </w:t>
      </w:r>
      <w:r>
        <w:rPr>
          <w:rFonts w:ascii="Times New Roman"/>
          <w:b w:val="false"/>
          <w:i w:val="false"/>
          <w:color w:val="000000"/>
          <w:sz w:val="28"/>
        </w:rPr>
        <w:t>приложении 4</w:t>
      </w:r>
      <w:r>
        <w:rPr>
          <w:rFonts w:ascii="Times New Roman"/>
          <w:b w:val="false"/>
          <w:i w:val="false"/>
          <w:color w:val="000000"/>
          <w:sz w:val="28"/>
        </w:rPr>
        <w:t xml:space="preserve"> к Правилам. Указанное нарушение устраняется в течение 4 (четырех) месяцев со дня возникновения.</w:t>
      </w:r>
    </w:p>
    <w:bookmarkEnd w:id="62"/>
    <w:bookmarkStart w:name="z66" w:id="63"/>
    <w:p>
      <w:pPr>
        <w:spacing w:after="0"/>
        <w:ind w:left="0"/>
        <w:jc w:val="both"/>
      </w:pPr>
      <w:r>
        <w:rPr>
          <w:rFonts w:ascii="Times New Roman"/>
          <w:b w:val="false"/>
          <w:i w:val="false"/>
          <w:color w:val="000000"/>
          <w:sz w:val="28"/>
        </w:rPr>
        <w:t>
      38. Расторжение договора на инвестиционное управление с внешним управляющим производится в соответствии с договором на инвестиционное управление:</w:t>
      </w:r>
    </w:p>
    <w:bookmarkEnd w:id="63"/>
    <w:p>
      <w:pPr>
        <w:spacing w:after="0"/>
        <w:ind w:left="0"/>
        <w:jc w:val="both"/>
      </w:pPr>
      <w:r>
        <w:rPr>
          <w:rFonts w:ascii="Times New Roman"/>
          <w:b w:val="false"/>
          <w:i w:val="false"/>
          <w:color w:val="000000"/>
          <w:sz w:val="28"/>
        </w:rPr>
        <w:t>
      1) при недостижении внешним управляющим сверхдоходности по управлению портфелем во внешнем управлении по сравнению с эталонным портфелем;</w:t>
      </w:r>
    </w:p>
    <w:p>
      <w:pPr>
        <w:spacing w:after="0"/>
        <w:ind w:left="0"/>
        <w:jc w:val="both"/>
      </w:pPr>
      <w:r>
        <w:rPr>
          <w:rFonts w:ascii="Times New Roman"/>
          <w:b w:val="false"/>
          <w:i w:val="false"/>
          <w:color w:val="000000"/>
          <w:sz w:val="28"/>
        </w:rPr>
        <w:t>
      2) при нарушении условий договора на инвестиционное управление;</w:t>
      </w:r>
    </w:p>
    <w:p>
      <w:pPr>
        <w:spacing w:after="0"/>
        <w:ind w:left="0"/>
        <w:jc w:val="both"/>
      </w:pPr>
      <w:r>
        <w:rPr>
          <w:rFonts w:ascii="Times New Roman"/>
          <w:b w:val="false"/>
          <w:i w:val="false"/>
          <w:color w:val="000000"/>
          <w:sz w:val="28"/>
        </w:rPr>
        <w:t>
      3) при изменении Инвестиционной декларации Фонда;</w:t>
      </w:r>
    </w:p>
    <w:p>
      <w:pPr>
        <w:spacing w:after="0"/>
        <w:ind w:left="0"/>
        <w:jc w:val="both"/>
      </w:pPr>
      <w:r>
        <w:rPr>
          <w:rFonts w:ascii="Times New Roman"/>
          <w:b w:val="false"/>
          <w:i w:val="false"/>
          <w:color w:val="000000"/>
          <w:sz w:val="28"/>
        </w:rPr>
        <w:t>
      4) по решению Правления Национального Банка либо Председателя или заместителя Председателя Национального Банка, курирующего уполномоченное подразделение.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 зарубежных организаций,</w:t>
            </w:r>
            <w:r>
              <w:br/>
            </w:r>
            <w:r>
              <w:rPr>
                <w:rFonts w:ascii="Times New Roman"/>
                <w:b w:val="false"/>
                <w:i w:val="false"/>
                <w:color w:val="000000"/>
                <w:sz w:val="20"/>
              </w:rPr>
              <w:t>управляющих пенсионными активами</w:t>
            </w:r>
            <w:r>
              <w:br/>
            </w:r>
            <w:r>
              <w:rPr>
                <w:rFonts w:ascii="Times New Roman"/>
                <w:b w:val="false"/>
                <w:i w:val="false"/>
                <w:color w:val="000000"/>
                <w:sz w:val="20"/>
              </w:rPr>
              <w:t>единого накопительного пенсионного фонда,</w:t>
            </w:r>
            <w:r>
              <w:br/>
            </w:r>
            <w:r>
              <w:rPr>
                <w:rFonts w:ascii="Times New Roman"/>
                <w:b w:val="false"/>
                <w:i w:val="false"/>
                <w:color w:val="000000"/>
                <w:sz w:val="20"/>
              </w:rPr>
              <w:t>включая требования к ним, при поручении</w:t>
            </w:r>
            <w:r>
              <w:br/>
            </w:r>
            <w:r>
              <w:rPr>
                <w:rFonts w:ascii="Times New Roman"/>
                <w:b w:val="false"/>
                <w:i w:val="false"/>
                <w:color w:val="000000"/>
                <w:sz w:val="20"/>
              </w:rPr>
              <w:t>им совершать действия, необходимые</w:t>
            </w:r>
            <w:r>
              <w:br/>
            </w:r>
            <w:r>
              <w:rPr>
                <w:rFonts w:ascii="Times New Roman"/>
                <w:b w:val="false"/>
                <w:i w:val="false"/>
                <w:color w:val="000000"/>
                <w:sz w:val="20"/>
              </w:rPr>
              <w:t>для управления пенсионными активами</w:t>
            </w:r>
            <w:r>
              <w:br/>
            </w:r>
            <w:r>
              <w:rPr>
                <w:rFonts w:ascii="Times New Roman"/>
                <w:b w:val="false"/>
                <w:i w:val="false"/>
                <w:color w:val="000000"/>
                <w:sz w:val="20"/>
              </w:rPr>
              <w:t>единого накопительного пенсионного фонда</w:t>
            </w:r>
          </w:p>
        </w:tc>
      </w:tr>
    </w:tbl>
    <w:bookmarkStart w:name="z68" w:id="64"/>
    <w:p>
      <w:pPr>
        <w:spacing w:after="0"/>
        <w:ind w:left="0"/>
        <w:jc w:val="both"/>
      </w:pPr>
      <w:r>
        <w:rPr>
          <w:rFonts w:ascii="Times New Roman"/>
          <w:b w:val="false"/>
          <w:i w:val="false"/>
          <w:color w:val="000000"/>
          <w:sz w:val="28"/>
        </w:rPr>
        <w:t>
      Минимальная информация, запрашиваемая у внешнего управляющего</w:t>
      </w:r>
    </w:p>
    <w:bookmarkEnd w:id="64"/>
    <w:bookmarkStart w:name="z69" w:id="65"/>
    <w:p>
      <w:pPr>
        <w:spacing w:after="0"/>
        <w:ind w:left="0"/>
        <w:jc w:val="both"/>
      </w:pPr>
      <w:r>
        <w:rPr>
          <w:rFonts w:ascii="Times New Roman"/>
          <w:b w:val="false"/>
          <w:i w:val="false"/>
          <w:color w:val="000000"/>
          <w:sz w:val="28"/>
        </w:rPr>
        <w:t>
      1. Опыт работы организации по рассматриваемому типу мандата.</w:t>
      </w:r>
    </w:p>
    <w:bookmarkEnd w:id="65"/>
    <w:bookmarkStart w:name="z70" w:id="66"/>
    <w:p>
      <w:pPr>
        <w:spacing w:after="0"/>
        <w:ind w:left="0"/>
        <w:jc w:val="both"/>
      </w:pPr>
      <w:r>
        <w:rPr>
          <w:rFonts w:ascii="Times New Roman"/>
          <w:b w:val="false"/>
          <w:i w:val="false"/>
          <w:color w:val="000000"/>
          <w:sz w:val="28"/>
        </w:rPr>
        <w:t>
      2. Активы клиентов под управлением за последние 5 лет, в том числе:</w:t>
      </w:r>
    </w:p>
    <w:bookmarkEnd w:id="66"/>
    <w:p>
      <w:pPr>
        <w:spacing w:after="0"/>
        <w:ind w:left="0"/>
        <w:jc w:val="both"/>
      </w:pPr>
      <w:r>
        <w:rPr>
          <w:rFonts w:ascii="Times New Roman"/>
          <w:b w:val="false"/>
          <w:i w:val="false"/>
          <w:color w:val="000000"/>
          <w:sz w:val="28"/>
        </w:rPr>
        <w:t>
      1) общие активы под управлением;</w:t>
      </w:r>
    </w:p>
    <w:p>
      <w:pPr>
        <w:spacing w:after="0"/>
        <w:ind w:left="0"/>
        <w:jc w:val="both"/>
      </w:pPr>
      <w:r>
        <w:rPr>
          <w:rFonts w:ascii="Times New Roman"/>
          <w:b w:val="false"/>
          <w:i w:val="false"/>
          <w:color w:val="000000"/>
          <w:sz w:val="28"/>
        </w:rPr>
        <w:t>
      2) активы по рассматриваемому типу мандата;</w:t>
      </w:r>
    </w:p>
    <w:p>
      <w:pPr>
        <w:spacing w:after="0"/>
        <w:ind w:left="0"/>
        <w:jc w:val="both"/>
      </w:pPr>
      <w:r>
        <w:rPr>
          <w:rFonts w:ascii="Times New Roman"/>
          <w:b w:val="false"/>
          <w:i w:val="false"/>
          <w:color w:val="000000"/>
          <w:sz w:val="28"/>
        </w:rPr>
        <w:t>
      3) активы институциональных клиентов;</w:t>
      </w:r>
    </w:p>
    <w:p>
      <w:pPr>
        <w:spacing w:after="0"/>
        <w:ind w:left="0"/>
        <w:jc w:val="both"/>
      </w:pPr>
      <w:r>
        <w:rPr>
          <w:rFonts w:ascii="Times New Roman"/>
          <w:b w:val="false"/>
          <w:i w:val="false"/>
          <w:color w:val="000000"/>
          <w:sz w:val="28"/>
        </w:rPr>
        <w:t>
      4) активы центральных банков.</w:t>
      </w:r>
    </w:p>
    <w:bookmarkStart w:name="z71" w:id="67"/>
    <w:p>
      <w:pPr>
        <w:spacing w:after="0"/>
        <w:ind w:left="0"/>
        <w:jc w:val="both"/>
      </w:pPr>
      <w:r>
        <w:rPr>
          <w:rFonts w:ascii="Times New Roman"/>
          <w:b w:val="false"/>
          <w:i w:val="false"/>
          <w:color w:val="000000"/>
          <w:sz w:val="28"/>
        </w:rPr>
        <w:t>
      3. Информация о портфельных менеджерах и менеджерах по связям с клиентами, которые будут ответственными за активы, переданные во внешнее управление.</w:t>
      </w:r>
    </w:p>
    <w:bookmarkEnd w:id="67"/>
    <w:bookmarkStart w:name="z72" w:id="68"/>
    <w:p>
      <w:pPr>
        <w:spacing w:after="0"/>
        <w:ind w:left="0"/>
        <w:jc w:val="both"/>
      </w:pPr>
      <w:r>
        <w:rPr>
          <w:rFonts w:ascii="Times New Roman"/>
          <w:b w:val="false"/>
          <w:i w:val="false"/>
          <w:color w:val="000000"/>
          <w:sz w:val="28"/>
        </w:rPr>
        <w:t>
      4. Информация о текучести персонала за последние 5 лет среди портфельных менеджеров и аналитиков.</w:t>
      </w:r>
    </w:p>
    <w:bookmarkEnd w:id="68"/>
    <w:bookmarkStart w:name="z73" w:id="69"/>
    <w:p>
      <w:pPr>
        <w:spacing w:after="0"/>
        <w:ind w:left="0"/>
        <w:jc w:val="both"/>
      </w:pPr>
      <w:r>
        <w:rPr>
          <w:rFonts w:ascii="Times New Roman"/>
          <w:b w:val="false"/>
          <w:i w:val="false"/>
          <w:color w:val="000000"/>
          <w:sz w:val="28"/>
        </w:rPr>
        <w:t>
      5. Подробное описание инвестиционного процесса, методов управления портфелем, исследования рынка, используемые источники финансовой информации или модели оценки финансовых инструментов.</w:t>
      </w:r>
    </w:p>
    <w:bookmarkEnd w:id="69"/>
    <w:bookmarkStart w:name="z74" w:id="70"/>
    <w:p>
      <w:pPr>
        <w:spacing w:after="0"/>
        <w:ind w:left="0"/>
        <w:jc w:val="both"/>
      </w:pPr>
      <w:r>
        <w:rPr>
          <w:rFonts w:ascii="Times New Roman"/>
          <w:b w:val="false"/>
          <w:i w:val="false"/>
          <w:color w:val="000000"/>
          <w:sz w:val="28"/>
        </w:rPr>
        <w:t>
      6. Каким образом осуществляется моделирование, мониторинг и управление активным рыночным риском, возникшим при активном управлении активами (в случае если рассматриваемый тип мандата относится к активному управлению активами)?</w:t>
      </w:r>
    </w:p>
    <w:bookmarkEnd w:id="70"/>
    <w:bookmarkStart w:name="z75" w:id="71"/>
    <w:p>
      <w:pPr>
        <w:spacing w:after="0"/>
        <w:ind w:left="0"/>
        <w:jc w:val="both"/>
      </w:pPr>
      <w:r>
        <w:rPr>
          <w:rFonts w:ascii="Times New Roman"/>
          <w:b w:val="false"/>
          <w:i w:val="false"/>
          <w:color w:val="000000"/>
          <w:sz w:val="28"/>
        </w:rPr>
        <w:t>
      7. Наличие специализированного программного обеспечения по контролю и управлению рисками.</w:t>
      </w:r>
    </w:p>
    <w:bookmarkEnd w:id="71"/>
    <w:bookmarkStart w:name="z76" w:id="72"/>
    <w:p>
      <w:pPr>
        <w:spacing w:after="0"/>
        <w:ind w:left="0"/>
        <w:jc w:val="both"/>
      </w:pPr>
      <w:r>
        <w:rPr>
          <w:rFonts w:ascii="Times New Roman"/>
          <w:b w:val="false"/>
          <w:i w:val="false"/>
          <w:color w:val="000000"/>
          <w:sz w:val="28"/>
        </w:rPr>
        <w:t>
      8. Исторические результаты управления портфелем с аналогичным или близким эталонным портфелем и типом мандата за последние 5 лет.</w:t>
      </w:r>
    </w:p>
    <w:bookmarkEnd w:id="72"/>
    <w:bookmarkStart w:name="z77" w:id="73"/>
    <w:p>
      <w:pPr>
        <w:spacing w:after="0"/>
        <w:ind w:left="0"/>
        <w:jc w:val="both"/>
      </w:pPr>
      <w:r>
        <w:rPr>
          <w:rFonts w:ascii="Times New Roman"/>
          <w:b w:val="false"/>
          <w:i w:val="false"/>
          <w:color w:val="000000"/>
          <w:sz w:val="28"/>
        </w:rPr>
        <w:t>
      9. Описание программного обеспечения, используемого для расчета доходности, риска, применяемых в бухгалтерской и аналитической отчетности.</w:t>
      </w:r>
    </w:p>
    <w:bookmarkEnd w:id="73"/>
    <w:bookmarkStart w:name="z78" w:id="74"/>
    <w:p>
      <w:pPr>
        <w:spacing w:after="0"/>
        <w:ind w:left="0"/>
        <w:jc w:val="both"/>
      </w:pPr>
      <w:r>
        <w:rPr>
          <w:rFonts w:ascii="Times New Roman"/>
          <w:b w:val="false"/>
          <w:i w:val="false"/>
          <w:color w:val="000000"/>
          <w:sz w:val="28"/>
        </w:rPr>
        <w:t>
      10. Описание внутренней корпоративной этики.</w:t>
      </w:r>
    </w:p>
    <w:bookmarkEnd w:id="74"/>
    <w:bookmarkStart w:name="z79" w:id="75"/>
    <w:p>
      <w:pPr>
        <w:spacing w:after="0"/>
        <w:ind w:left="0"/>
        <w:jc w:val="both"/>
      </w:pPr>
      <w:r>
        <w:rPr>
          <w:rFonts w:ascii="Times New Roman"/>
          <w:b w:val="false"/>
          <w:i w:val="false"/>
          <w:color w:val="000000"/>
          <w:sz w:val="28"/>
        </w:rPr>
        <w:t>
      11. Ответственность внешнего управляющего перед Национальным Банком в случае нарушения условий договора на инвестиционное управление.</w:t>
      </w:r>
    </w:p>
    <w:bookmarkEnd w:id="75"/>
    <w:bookmarkStart w:name="z80" w:id="76"/>
    <w:p>
      <w:pPr>
        <w:spacing w:after="0"/>
        <w:ind w:left="0"/>
        <w:jc w:val="both"/>
      </w:pPr>
      <w:r>
        <w:rPr>
          <w:rFonts w:ascii="Times New Roman"/>
          <w:b w:val="false"/>
          <w:i w:val="false"/>
          <w:color w:val="000000"/>
          <w:sz w:val="28"/>
        </w:rPr>
        <w:t>
      12. Какие виды страхования используются для защиты клиента от ошибок внешнего управляющего?</w:t>
      </w:r>
    </w:p>
    <w:bookmarkEnd w:id="76"/>
    <w:bookmarkStart w:name="z81" w:id="77"/>
    <w:p>
      <w:pPr>
        <w:spacing w:after="0"/>
        <w:ind w:left="0"/>
        <w:jc w:val="both"/>
      </w:pPr>
      <w:r>
        <w:rPr>
          <w:rFonts w:ascii="Times New Roman"/>
          <w:b w:val="false"/>
          <w:i w:val="false"/>
          <w:color w:val="000000"/>
          <w:sz w:val="28"/>
        </w:rPr>
        <w:t>
      13. Кредитный рейтинг головной организации (если имеется), возможность внешнего управляющего предоставить гарантию его головной организации о компенсации ущерба при невыполнении внешним управляющим условий договора на инвестиционное управление с внешним управляющим, либо возможность подписания договора на инвестиционное управление непосредственно с головной организацией, либо в виде трехстороннего договора на инвестиционное управление между Национальным Банком, внешним управляющим и его головной организацией.</w:t>
      </w:r>
    </w:p>
    <w:bookmarkEnd w:id="77"/>
    <w:bookmarkStart w:name="z82" w:id="78"/>
    <w:p>
      <w:pPr>
        <w:spacing w:after="0"/>
        <w:ind w:left="0"/>
        <w:jc w:val="both"/>
      </w:pPr>
      <w:r>
        <w:rPr>
          <w:rFonts w:ascii="Times New Roman"/>
          <w:b w:val="false"/>
          <w:i w:val="false"/>
          <w:color w:val="000000"/>
          <w:sz w:val="28"/>
        </w:rPr>
        <w:t>
      14. Условия предоставляемого для клиентов тренинга.</w:t>
      </w:r>
    </w:p>
    <w:bookmarkEnd w:id="78"/>
    <w:bookmarkStart w:name="z83" w:id="79"/>
    <w:p>
      <w:pPr>
        <w:spacing w:after="0"/>
        <w:ind w:left="0"/>
        <w:jc w:val="both"/>
      </w:pPr>
      <w:r>
        <w:rPr>
          <w:rFonts w:ascii="Times New Roman"/>
          <w:b w:val="false"/>
          <w:i w:val="false"/>
          <w:color w:val="000000"/>
          <w:sz w:val="28"/>
        </w:rPr>
        <w:t>
      15. Информация о предполагаемом уровне комиссии за управление.</w:t>
      </w:r>
    </w:p>
    <w:bookmarkEnd w:id="79"/>
    <w:bookmarkStart w:name="z84" w:id="80"/>
    <w:p>
      <w:pPr>
        <w:spacing w:after="0"/>
        <w:ind w:left="0"/>
        <w:jc w:val="both"/>
      </w:pPr>
      <w:r>
        <w:rPr>
          <w:rFonts w:ascii="Times New Roman"/>
          <w:b w:val="false"/>
          <w:i w:val="false"/>
          <w:color w:val="000000"/>
          <w:sz w:val="28"/>
        </w:rPr>
        <w:t>
      16. Аудиторское заключение финансовой отчетности внешнего управляющего, за последний календарный год.</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 зарубежных организаций,</w:t>
            </w:r>
            <w:r>
              <w:br/>
            </w:r>
            <w:r>
              <w:rPr>
                <w:rFonts w:ascii="Times New Roman"/>
                <w:b w:val="false"/>
                <w:i w:val="false"/>
                <w:color w:val="000000"/>
                <w:sz w:val="20"/>
              </w:rPr>
              <w:t>управляющих пенсионными активами</w:t>
            </w:r>
            <w:r>
              <w:br/>
            </w:r>
            <w:r>
              <w:rPr>
                <w:rFonts w:ascii="Times New Roman"/>
                <w:b w:val="false"/>
                <w:i w:val="false"/>
                <w:color w:val="000000"/>
                <w:sz w:val="20"/>
              </w:rPr>
              <w:t>единого накопительного пенсионного фонда,</w:t>
            </w:r>
            <w:r>
              <w:br/>
            </w:r>
            <w:r>
              <w:rPr>
                <w:rFonts w:ascii="Times New Roman"/>
                <w:b w:val="false"/>
                <w:i w:val="false"/>
                <w:color w:val="000000"/>
                <w:sz w:val="20"/>
              </w:rPr>
              <w:t>включая требования к ним, при поручении</w:t>
            </w:r>
            <w:r>
              <w:br/>
            </w:r>
            <w:r>
              <w:rPr>
                <w:rFonts w:ascii="Times New Roman"/>
                <w:b w:val="false"/>
                <w:i w:val="false"/>
                <w:color w:val="000000"/>
                <w:sz w:val="20"/>
              </w:rPr>
              <w:t>им совершать действия, необходимые</w:t>
            </w:r>
            <w:r>
              <w:br/>
            </w:r>
            <w:r>
              <w:rPr>
                <w:rFonts w:ascii="Times New Roman"/>
                <w:b w:val="false"/>
                <w:i w:val="false"/>
                <w:color w:val="000000"/>
                <w:sz w:val="20"/>
              </w:rPr>
              <w:t>для управления пенсионными активами</w:t>
            </w:r>
            <w:r>
              <w:br/>
            </w:r>
            <w:r>
              <w:rPr>
                <w:rFonts w:ascii="Times New Roman"/>
                <w:b w:val="false"/>
                <w:i w:val="false"/>
                <w:color w:val="000000"/>
                <w:sz w:val="20"/>
              </w:rPr>
              <w:t>единого накопительного пенсионного фонда</w:t>
            </w:r>
          </w:p>
        </w:tc>
      </w:tr>
    </w:tbl>
    <w:bookmarkStart w:name="z86" w:id="81"/>
    <w:p>
      <w:pPr>
        <w:spacing w:after="0"/>
        <w:ind w:left="0"/>
        <w:jc w:val="both"/>
      </w:pPr>
      <w:r>
        <w:rPr>
          <w:rFonts w:ascii="Times New Roman"/>
          <w:b w:val="false"/>
          <w:i w:val="false"/>
          <w:color w:val="000000"/>
          <w:sz w:val="28"/>
        </w:rPr>
        <w:t>
                     Оценочные критерии для сравнительного анализа</w:t>
      </w:r>
    </w:p>
    <w:bookmarkEnd w:id="81"/>
    <w:p>
      <w:pPr>
        <w:spacing w:after="0"/>
        <w:ind w:left="0"/>
        <w:jc w:val="both"/>
      </w:pPr>
      <w:r>
        <w:rPr>
          <w:rFonts w:ascii="Times New Roman"/>
          <w:b w:val="false"/>
          <w:i w:val="false"/>
          <w:color w:val="000000"/>
          <w:sz w:val="28"/>
        </w:rPr>
        <w:t>
                             предложений внешних управляющих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0803"/>
        <w:gridCol w:w="917"/>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критерия (в процентах)</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результаты управления портфелем (при проведении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показатели нормируются в зависимости от охвата соответствующего мандата)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показатель сверхдоходности за последние 3-5 лет (в случае если показатель сверхдоходности за период менее 5 лет положительный, показатель нормируется относительно периода в 5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показатель информационного коэффициента за последние 3-5 лет (в случае если показатель информационного коэффициента за период менее 5 лет положительный, показатель нормируется относительно периода в 5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по данному типу мандата к общим активам под управлением (при проведении сравнительного анализа предложений потенциальных внешних управляющих, специализирующихся на региональных мандатах и участвующих в выборе управляющего по глобальному мандату, используется объем активов по региональным мандатам. Данное значение нормируется в зависимости от охвата соответствующего мандата)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институциональных инвесторов к общим активам под управлением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опыт работы портфельных менеджеров и аналитиков, ответственных за управление активами по соответствующему мандату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текучесть кадров среди портфельных менеджеров и аналитиков в целом по компании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статус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есть гарантия головной организации, либо договор на инвестиционное управление подписывается с головной организацией, то кредитный рейтинг головной организации (S&amp;P или Moody's), в противном случае кредитный рейтинг зарубежной организации (S&amp;P или Moody's)</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комиссии за управление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базовой комиссии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принципа net new high basis since inception</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Национального Банка/Фонда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отчетность</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программного обеспечения по контролю и управлению рисками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ответственности перед Национальным Банком в случае нарушения условий договора на инвестиционное управление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 зарубежных организаций,</w:t>
            </w:r>
            <w:r>
              <w:br/>
            </w:r>
            <w:r>
              <w:rPr>
                <w:rFonts w:ascii="Times New Roman"/>
                <w:b w:val="false"/>
                <w:i w:val="false"/>
                <w:color w:val="000000"/>
                <w:sz w:val="20"/>
              </w:rPr>
              <w:t>управляющих пенсионными активами</w:t>
            </w:r>
            <w:r>
              <w:br/>
            </w:r>
            <w:r>
              <w:rPr>
                <w:rFonts w:ascii="Times New Roman"/>
                <w:b w:val="false"/>
                <w:i w:val="false"/>
                <w:color w:val="000000"/>
                <w:sz w:val="20"/>
              </w:rPr>
              <w:t>единого накопительного пенсионного фонда,</w:t>
            </w:r>
            <w:r>
              <w:br/>
            </w:r>
            <w:r>
              <w:rPr>
                <w:rFonts w:ascii="Times New Roman"/>
                <w:b w:val="false"/>
                <w:i w:val="false"/>
                <w:color w:val="000000"/>
                <w:sz w:val="20"/>
              </w:rPr>
              <w:t>включая требования к ним, при поручении</w:t>
            </w:r>
            <w:r>
              <w:br/>
            </w:r>
            <w:r>
              <w:rPr>
                <w:rFonts w:ascii="Times New Roman"/>
                <w:b w:val="false"/>
                <w:i w:val="false"/>
                <w:color w:val="000000"/>
                <w:sz w:val="20"/>
              </w:rPr>
              <w:t>им совершать действия, необходимые</w:t>
            </w:r>
            <w:r>
              <w:br/>
            </w:r>
            <w:r>
              <w:rPr>
                <w:rFonts w:ascii="Times New Roman"/>
                <w:b w:val="false"/>
                <w:i w:val="false"/>
                <w:color w:val="000000"/>
                <w:sz w:val="20"/>
              </w:rPr>
              <w:t>для управления пенсионными активами</w:t>
            </w:r>
            <w:r>
              <w:br/>
            </w:r>
            <w:r>
              <w:rPr>
                <w:rFonts w:ascii="Times New Roman"/>
                <w:b w:val="false"/>
                <w:i w:val="false"/>
                <w:color w:val="000000"/>
                <w:sz w:val="20"/>
              </w:rPr>
              <w:t>единого накопительного пенсионного фонда</w:t>
            </w:r>
          </w:p>
        </w:tc>
      </w:tr>
    </w:tbl>
    <w:bookmarkStart w:name="z88" w:id="82"/>
    <w:p>
      <w:pPr>
        <w:spacing w:after="0"/>
        <w:ind w:left="0"/>
        <w:jc w:val="both"/>
      </w:pPr>
      <w:r>
        <w:rPr>
          <w:rFonts w:ascii="Times New Roman"/>
          <w:b w:val="false"/>
          <w:i w:val="false"/>
          <w:color w:val="000000"/>
          <w:sz w:val="28"/>
        </w:rPr>
        <w:t>
      Порядок оценки предложения внешнего управляющего</w:t>
      </w:r>
    </w:p>
    <w:bookmarkEnd w:id="82"/>
    <w:p>
      <w:pPr>
        <w:spacing w:after="0"/>
        <w:ind w:left="0"/>
        <w:jc w:val="both"/>
      </w:pPr>
      <w:r>
        <w:rPr>
          <w:rFonts w:ascii="Times New Roman"/>
          <w:b w:val="false"/>
          <w:i w:val="false"/>
          <w:color w:val="000000"/>
          <w:sz w:val="28"/>
        </w:rPr>
        <w:t>
      в соответствии с таблицей оценочных критериев</w:t>
      </w:r>
    </w:p>
    <w:bookmarkStart w:name="z89" w:id="83"/>
    <w:p>
      <w:pPr>
        <w:spacing w:after="0"/>
        <w:ind w:left="0"/>
        <w:jc w:val="both"/>
      </w:pPr>
      <w:r>
        <w:rPr>
          <w:rFonts w:ascii="Times New Roman"/>
          <w:b w:val="false"/>
          <w:i w:val="false"/>
          <w:color w:val="000000"/>
          <w:sz w:val="28"/>
        </w:rPr>
        <w:t>
      1. Оценкой предложения внешнего управляющего служит сумма всех показателей, приведенных в оценочных критериях для сравнительного анализа предложений внешних управляющих (далее - Таблица) с соответствующими весами.</w:t>
      </w:r>
    </w:p>
    <w:bookmarkEnd w:id="83"/>
    <w:bookmarkStart w:name="z90" w:id="84"/>
    <w:p>
      <w:pPr>
        <w:spacing w:after="0"/>
        <w:ind w:left="0"/>
        <w:jc w:val="both"/>
      </w:pPr>
      <w:r>
        <w:rPr>
          <w:rFonts w:ascii="Times New Roman"/>
          <w:b w:val="false"/>
          <w:i w:val="false"/>
          <w:color w:val="000000"/>
          <w:sz w:val="28"/>
        </w:rPr>
        <w:t>
      2. Перед тем, как тот или иной показатель будет внесен в Таблицу, показатель нормируется относительно лучшего показателя в рассматриваемом критерии с использованием формулы:</w:t>
      </w:r>
    </w:p>
    <w:bookmarkEnd w:id="84"/>
    <w:p>
      <w:pPr>
        <w:spacing w:after="0"/>
        <w:ind w:left="0"/>
        <w:jc w:val="both"/>
      </w:pPr>
      <w:r>
        <w:rPr>
          <w:rFonts w:ascii="Times New Roman"/>
          <w:b w:val="false"/>
          <w:i w:val="false"/>
          <w:color w:val="000000"/>
          <w:sz w:val="28"/>
        </w:rPr>
        <w:t xml:space="preserve">
      Нормированный показатель управляющего = Показатель управляющего/максимальное значение показателя по всем внешним управляющим. </w:t>
      </w:r>
    </w:p>
    <w:bookmarkStart w:name="z91" w:id="85"/>
    <w:p>
      <w:pPr>
        <w:spacing w:after="0"/>
        <w:ind w:left="0"/>
        <w:jc w:val="both"/>
      </w:pPr>
      <w:r>
        <w:rPr>
          <w:rFonts w:ascii="Times New Roman"/>
          <w:b w:val="false"/>
          <w:i w:val="false"/>
          <w:color w:val="000000"/>
          <w:sz w:val="28"/>
        </w:rPr>
        <w:t>
      3. Если внешний управляющий управляет активами по объявленному типу мандата в рамках другого мандата, то осуществляется оценка исторических результатов управления данными активами в рамках другого мандата.</w:t>
      </w:r>
    </w:p>
    <w:bookmarkEnd w:id="85"/>
    <w:bookmarkStart w:name="z92" w:id="86"/>
    <w:p>
      <w:pPr>
        <w:spacing w:after="0"/>
        <w:ind w:left="0"/>
        <w:jc w:val="both"/>
      </w:pPr>
      <w:r>
        <w:rPr>
          <w:rFonts w:ascii="Times New Roman"/>
          <w:b w:val="false"/>
          <w:i w:val="false"/>
          <w:color w:val="000000"/>
          <w:sz w:val="28"/>
        </w:rPr>
        <w:t>
      4. При оценке кредитного рейтинга головной организации и/или внешнего управляющего используется следующая система показателей:</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6"/>
        <w:gridCol w:w="3974"/>
      </w:tblGrid>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 (S&amp;P)</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ВВВ</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5. При оценке обучения специалистов Национального Банка/Фонда используется следующая система показателей: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6"/>
        <w:gridCol w:w="5334"/>
      </w:tblGrid>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тренинга</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перелет, проживание, питание</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 питание</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 зарубежных организаций,</w:t>
            </w:r>
            <w:r>
              <w:br/>
            </w:r>
            <w:r>
              <w:rPr>
                <w:rFonts w:ascii="Times New Roman"/>
                <w:b w:val="false"/>
                <w:i w:val="false"/>
                <w:color w:val="000000"/>
                <w:sz w:val="20"/>
              </w:rPr>
              <w:t>управляющих пенсионными активами</w:t>
            </w:r>
            <w:r>
              <w:br/>
            </w:r>
            <w:r>
              <w:rPr>
                <w:rFonts w:ascii="Times New Roman"/>
                <w:b w:val="false"/>
                <w:i w:val="false"/>
                <w:color w:val="000000"/>
                <w:sz w:val="20"/>
              </w:rPr>
              <w:t>единого накопительного пенсионного фонда,</w:t>
            </w:r>
            <w:r>
              <w:br/>
            </w:r>
            <w:r>
              <w:rPr>
                <w:rFonts w:ascii="Times New Roman"/>
                <w:b w:val="false"/>
                <w:i w:val="false"/>
                <w:color w:val="000000"/>
                <w:sz w:val="20"/>
              </w:rPr>
              <w:t>включая требования к ним, при поручении</w:t>
            </w:r>
            <w:r>
              <w:br/>
            </w:r>
            <w:r>
              <w:rPr>
                <w:rFonts w:ascii="Times New Roman"/>
                <w:b w:val="false"/>
                <w:i w:val="false"/>
                <w:color w:val="000000"/>
                <w:sz w:val="20"/>
              </w:rPr>
              <w:t>им совершать действия, необходимые</w:t>
            </w:r>
            <w:r>
              <w:br/>
            </w:r>
            <w:r>
              <w:rPr>
                <w:rFonts w:ascii="Times New Roman"/>
                <w:b w:val="false"/>
                <w:i w:val="false"/>
                <w:color w:val="000000"/>
                <w:sz w:val="20"/>
              </w:rPr>
              <w:t>для управления пенсионными активами</w:t>
            </w:r>
            <w:r>
              <w:br/>
            </w:r>
            <w:r>
              <w:rPr>
                <w:rFonts w:ascii="Times New Roman"/>
                <w:b w:val="false"/>
                <w:i w:val="false"/>
                <w:color w:val="000000"/>
                <w:sz w:val="20"/>
              </w:rPr>
              <w:t>единого накопительного пенсионного фонда</w:t>
            </w:r>
          </w:p>
        </w:tc>
      </w:tr>
    </w:tbl>
    <w:bookmarkStart w:name="z95" w:id="88"/>
    <w:p>
      <w:pPr>
        <w:spacing w:after="0"/>
        <w:ind w:left="0"/>
        <w:jc w:val="both"/>
      </w:pPr>
      <w:r>
        <w:rPr>
          <w:rFonts w:ascii="Times New Roman"/>
          <w:b w:val="false"/>
          <w:i w:val="false"/>
          <w:color w:val="000000"/>
          <w:sz w:val="28"/>
        </w:rPr>
        <w:t>
      Показатели</w:t>
      </w:r>
    </w:p>
    <w:bookmarkEnd w:id="88"/>
    <w:p>
      <w:pPr>
        <w:spacing w:after="0"/>
        <w:ind w:left="0"/>
        <w:jc w:val="both"/>
      </w:pPr>
      <w:r>
        <w:rPr>
          <w:rFonts w:ascii="Times New Roman"/>
          <w:b w:val="false"/>
          <w:i w:val="false"/>
          <w:color w:val="000000"/>
          <w:sz w:val="28"/>
        </w:rPr>
        <w:t>
      оценки эффективности работы внешнего управляющего</w:t>
      </w:r>
    </w:p>
    <w:p>
      <w:pPr>
        <w:spacing w:after="0"/>
        <w:ind w:left="0"/>
        <w:jc w:val="both"/>
      </w:pPr>
      <w:r>
        <w:rPr>
          <w:rFonts w:ascii="Times New Roman"/>
          <w:b w:val="false"/>
          <w:i w:val="false"/>
          <w:color w:val="000000"/>
          <w:sz w:val="28"/>
        </w:rPr>
        <w:t>
      Основной целью является оценка и выставление баллов внешним управляющим, согласно количественным и качественным показателям во избежание субъективности при оценке работы внешнего управляющего.</w:t>
      </w:r>
    </w:p>
    <w:p>
      <w:pPr>
        <w:spacing w:after="0"/>
        <w:ind w:left="0"/>
        <w:jc w:val="both"/>
      </w:pPr>
      <w:r>
        <w:rPr>
          <w:rFonts w:ascii="Times New Roman"/>
          <w:b w:val="false"/>
          <w:i w:val="false"/>
          <w:color w:val="000000"/>
          <w:sz w:val="28"/>
        </w:rPr>
        <w:t>
      Количественные показатели:</w:t>
      </w:r>
    </w:p>
    <w:p>
      <w:pPr>
        <w:spacing w:after="0"/>
        <w:ind w:left="0"/>
        <w:jc w:val="both"/>
      </w:pPr>
      <w:r>
        <w:rPr>
          <w:rFonts w:ascii="Times New Roman"/>
          <w:b w:val="false"/>
          <w:i w:val="false"/>
          <w:color w:val="000000"/>
          <w:sz w:val="28"/>
        </w:rPr>
        <w:t>
      Информационный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7451"/>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коэффициент (Information ratio)</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балла</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балла</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балла</w:t>
            </w:r>
          </w:p>
        </w:tc>
      </w:tr>
    </w:tbl>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Качественные показатели:</w:t>
      </w:r>
    </w:p>
    <w:bookmarkEnd w:id="89"/>
    <w:p>
      <w:pPr>
        <w:spacing w:after="0"/>
        <w:ind w:left="0"/>
        <w:jc w:val="both"/>
      </w:pPr>
      <w:r>
        <w:rPr>
          <w:rFonts w:ascii="Times New Roman"/>
          <w:b w:val="false"/>
          <w:i w:val="false"/>
          <w:color w:val="000000"/>
          <w:sz w:val="28"/>
        </w:rPr>
        <w:t>
      1) передвижения персонала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8896"/>
      </w:tblGrid>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персонала (Staff turnover)</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балла</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операционный риск (Operational risk):</w:t>
      </w:r>
    </w:p>
    <w:p>
      <w:pPr>
        <w:spacing w:after="0"/>
        <w:ind w:left="0"/>
        <w:jc w:val="both"/>
      </w:pPr>
      <w:r>
        <w:rPr>
          <w:rFonts w:ascii="Times New Roman"/>
          <w:b w:val="false"/>
          <w:i w:val="false"/>
          <w:color w:val="000000"/>
          <w:sz w:val="28"/>
        </w:rPr>
        <w:t>
      за каждый факт нарушения инвестиционных ограничений вследствие операционной ошибки из оценки отнимается 0,2 балла;</w:t>
      </w:r>
    </w:p>
    <w:p>
      <w:pPr>
        <w:spacing w:after="0"/>
        <w:ind w:left="0"/>
        <w:jc w:val="both"/>
      </w:pPr>
      <w:r>
        <w:rPr>
          <w:rFonts w:ascii="Times New Roman"/>
          <w:b w:val="false"/>
          <w:i w:val="false"/>
          <w:color w:val="000000"/>
          <w:sz w:val="28"/>
        </w:rPr>
        <w:t>
      в случае систематического непредставления отчетности в указанные сроки из оценки отнимается 0,2 балла;</w:t>
      </w:r>
    </w:p>
    <w:p>
      <w:pPr>
        <w:spacing w:after="0"/>
        <w:ind w:left="0"/>
        <w:jc w:val="both"/>
      </w:pPr>
      <w:r>
        <w:rPr>
          <w:rFonts w:ascii="Times New Roman"/>
          <w:b w:val="false"/>
          <w:i w:val="false"/>
          <w:color w:val="000000"/>
          <w:sz w:val="28"/>
        </w:rPr>
        <w:t>
      3) соблюдение деловой этики (compliance with a Code of Business Ethics):</w:t>
      </w:r>
    </w:p>
    <w:p>
      <w:pPr>
        <w:spacing w:after="0"/>
        <w:ind w:left="0"/>
        <w:jc w:val="both"/>
      </w:pPr>
      <w:r>
        <w:rPr>
          <w:rFonts w:ascii="Times New Roman"/>
          <w:b w:val="false"/>
          <w:i w:val="false"/>
          <w:color w:val="000000"/>
          <w:sz w:val="28"/>
        </w:rPr>
        <w:t>
      за каждый факт нарушения внешним управляющим деловой этики из оценки отнимается 0,5 балла;</w:t>
      </w:r>
    </w:p>
    <w:p>
      <w:pPr>
        <w:spacing w:after="0"/>
        <w:ind w:left="0"/>
        <w:jc w:val="both"/>
      </w:pPr>
      <w:r>
        <w:rPr>
          <w:rFonts w:ascii="Times New Roman"/>
          <w:b w:val="false"/>
          <w:i w:val="false"/>
          <w:color w:val="000000"/>
          <w:sz w:val="28"/>
        </w:rPr>
        <w:t>
      в случае систематического несвоевременного исполнения поручений Национального Банка в соответствии с договором на инвестиционное управление из оценки отнимается 0,5 балла.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