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3525" w14:textId="f773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2013 года № 214. Зарегистрирован в Министерстве юстиции Республики Казахстан 10 октября 2013 года № 8796.</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постановлением Правления Национального Банка РК от 22.12.2017 </w:t>
      </w:r>
      <w:r>
        <w:rPr>
          <w:rFonts w:ascii="Times New Roman"/>
          <w:b w:val="false"/>
          <w:i w:val="false"/>
          <w:color w:val="ff0000"/>
          <w:sz w:val="28"/>
        </w:rPr>
        <w:t>№ 257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49-1</w:t>
      </w:r>
      <w:r>
        <w:rPr>
          <w:rFonts w:ascii="Times New Roman"/>
          <w:b w:val="false"/>
          <w:i w:val="false"/>
          <w:color w:val="000000"/>
          <w:sz w:val="28"/>
        </w:rPr>
        <w:t> Закона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постановлением Правления Национального Банка РК от 22.12.2017 </w:t>
      </w:r>
      <w:r>
        <w:rPr>
          <w:rFonts w:ascii="Times New Roman"/>
          <w:b w:val="false"/>
          <w:i w:val="false"/>
          <w:color w:val="000000"/>
          <w:sz w:val="28"/>
        </w:rPr>
        <w:t>№ 257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нормативные правовые акты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27 августа 2013 года № 214</w:t>
            </w:r>
          </w:p>
        </w:tc>
      </w:tr>
    </w:tbl>
    <w:bookmarkStart w:name="z11" w:id="4"/>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w:t>
      </w:r>
    </w:p>
    <w:bookmarkEnd w:id="4"/>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постановлением Правления Национального Банка РК от 22.12.2017 </w:t>
      </w:r>
      <w:r>
        <w:rPr>
          <w:rFonts w:ascii="Times New Roman"/>
          <w:b w:val="false"/>
          <w:i w:val="false"/>
          <w:color w:val="ff0000"/>
          <w:sz w:val="28"/>
        </w:rPr>
        <w:t>№ 257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5"/>
    <w:p>
      <w:pPr>
        <w:spacing w:after="0"/>
        <w:ind w:left="0"/>
        <w:jc w:val="both"/>
      </w:pPr>
      <w:r>
        <w:rPr>
          <w:rFonts w:ascii="Times New Roman"/>
          <w:b w:val="false"/>
          <w:i w:val="false"/>
          <w:color w:val="000000"/>
          <w:sz w:val="28"/>
        </w:rPr>
        <w:t xml:space="preserve">
      Настоящие Правила формирования системы управления рисками для организаций, осуществляющих брокерскую и дилерскую деятельность на рынке ценных бумаг, деятельность по управлению инвестиционным портфелем (далее – Правила) разработаны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Республики Казахстан "О рынке ценных бумаг" (далее – Закон о рынке ценных бумаг) и устанавливают порядок формирования системы управления рисками и внутреннего контроля для организаций, обладающих лицензией на осуществление брокерской и дилерской деятельности (далее – брокер и (или) дилер), деятельности по управлению инвестиционным портфелем (далее – Управляющий).</w:t>
      </w:r>
    </w:p>
    <w:bookmarkEnd w:id="5"/>
    <w:p>
      <w:pPr>
        <w:spacing w:after="0"/>
        <w:ind w:left="0"/>
        <w:jc w:val="both"/>
      </w:pPr>
      <w:r>
        <w:rPr>
          <w:rFonts w:ascii="Times New Roman"/>
          <w:b w:val="false"/>
          <w:i w:val="false"/>
          <w:color w:val="000000"/>
          <w:sz w:val="28"/>
        </w:rPr>
        <w:t>
      Требования к программно-техническому обеспечению, используемому для поддержания системы управления рисками, а также к автоматизации деятельности Управляющего, предусмотренные Правилами, не распространяют свое действие на отношения, возникающие при использовании информационных ресурсов Национального Банка Республики Казахстан на основании соответствующего соглашения, заключенного между Управляющим и Национальным Банком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28.12.2023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7"/>
    <w:p>
      <w:pPr>
        <w:spacing w:after="0"/>
        <w:ind w:left="0"/>
        <w:jc w:val="both"/>
      </w:pPr>
      <w:r>
        <w:rPr>
          <w:rFonts w:ascii="Times New Roman"/>
          <w:b w:val="false"/>
          <w:i w:val="false"/>
          <w:color w:val="000000"/>
          <w:sz w:val="28"/>
        </w:rPr>
        <w:t>
      1. Целью Правил является определение требований к формированию у брокера и (или) дилера, Управляющего системы управления рисками.</w:t>
      </w:r>
    </w:p>
    <w:bookmarkEnd w:id="7"/>
    <w:p>
      <w:pPr>
        <w:spacing w:after="0"/>
        <w:ind w:left="0"/>
        <w:jc w:val="both"/>
      </w:pPr>
      <w:r>
        <w:rPr>
          <w:rFonts w:ascii="Times New Roman"/>
          <w:b w:val="false"/>
          <w:i w:val="false"/>
          <w:color w:val="000000"/>
          <w:sz w:val="28"/>
        </w:rPr>
        <w:t xml:space="preserve">
      Требования подпункта 3) </w:t>
      </w:r>
      <w:r>
        <w:rPr>
          <w:rFonts w:ascii="Times New Roman"/>
          <w:b w:val="false"/>
          <w:i w:val="false"/>
          <w:color w:val="000000"/>
          <w:sz w:val="28"/>
        </w:rPr>
        <w:t>пункта 42</w:t>
      </w:r>
      <w:r>
        <w:rPr>
          <w:rFonts w:ascii="Times New Roman"/>
          <w:b w:val="false"/>
          <w:i w:val="false"/>
          <w:color w:val="000000"/>
          <w:sz w:val="28"/>
        </w:rPr>
        <w:t xml:space="preserve">, подпунктов 4), 5), 6), и 7) </w:t>
      </w:r>
      <w:r>
        <w:rPr>
          <w:rFonts w:ascii="Times New Roman"/>
          <w:b w:val="false"/>
          <w:i w:val="false"/>
          <w:color w:val="000000"/>
          <w:sz w:val="28"/>
        </w:rPr>
        <w:t>пункта 43</w:t>
      </w:r>
      <w:r>
        <w:rPr>
          <w:rFonts w:ascii="Times New Roman"/>
          <w:b w:val="false"/>
          <w:i w:val="false"/>
          <w:color w:val="000000"/>
          <w:sz w:val="28"/>
        </w:rPr>
        <w:t xml:space="preserve">, </w:t>
      </w:r>
      <w:r>
        <w:rPr>
          <w:rFonts w:ascii="Times New Roman"/>
          <w:b w:val="false"/>
          <w:i w:val="false"/>
          <w:color w:val="000000"/>
          <w:sz w:val="28"/>
        </w:rPr>
        <w:t>пунктов 46</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Правил не распространяются в отношении управления золотовалютными активами Национального Банка Республики Казахстан и активами Национального фонда Республики Казахстан, переданными в доверительное управление дочерней организации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03.02.2014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2. Порядок формирования системы управления рисками для брокера и (или) дилера, Управляющего включает в себя следующее:</w:t>
      </w:r>
    </w:p>
    <w:bookmarkEnd w:id="8"/>
    <w:p>
      <w:pPr>
        <w:spacing w:after="0"/>
        <w:ind w:left="0"/>
        <w:jc w:val="both"/>
      </w:pPr>
      <w:r>
        <w:rPr>
          <w:rFonts w:ascii="Times New Roman"/>
          <w:b w:val="false"/>
          <w:i w:val="false"/>
          <w:color w:val="000000"/>
          <w:sz w:val="28"/>
        </w:rPr>
        <w:t>
      1) базовые требования к наличию системы управления рисками;</w:t>
      </w:r>
    </w:p>
    <w:p>
      <w:pPr>
        <w:spacing w:after="0"/>
        <w:ind w:left="0"/>
        <w:jc w:val="both"/>
      </w:pPr>
      <w:r>
        <w:rPr>
          <w:rFonts w:ascii="Times New Roman"/>
          <w:b w:val="false"/>
          <w:i w:val="false"/>
          <w:color w:val="000000"/>
          <w:sz w:val="28"/>
        </w:rPr>
        <w:t>
      2) требования к внутренним документам брокера и (или) дилера, Управляющего;</w:t>
      </w:r>
    </w:p>
    <w:p>
      <w:pPr>
        <w:spacing w:after="0"/>
        <w:ind w:left="0"/>
        <w:jc w:val="both"/>
      </w:pPr>
      <w:r>
        <w:rPr>
          <w:rFonts w:ascii="Times New Roman"/>
          <w:b w:val="false"/>
          <w:i w:val="false"/>
          <w:color w:val="000000"/>
          <w:sz w:val="28"/>
        </w:rPr>
        <w:t>
      3) требования к организации деятельности по управлению активами клиентов, принятыми в инвестиционное управление, и собственными активами брокера и (или) дилера, Управляющего;</w:t>
      </w:r>
    </w:p>
    <w:p>
      <w:pPr>
        <w:spacing w:after="0"/>
        <w:ind w:left="0"/>
        <w:jc w:val="both"/>
      </w:pPr>
      <w:r>
        <w:rPr>
          <w:rFonts w:ascii="Times New Roman"/>
          <w:b w:val="false"/>
          <w:i w:val="false"/>
          <w:color w:val="000000"/>
          <w:sz w:val="28"/>
        </w:rPr>
        <w:t>
      4) требования к организации деятельности инвестиционного комитета Управляющего и брокера и (или) дилера, являющегося Управляющим;</w:t>
      </w:r>
    </w:p>
    <w:p>
      <w:pPr>
        <w:spacing w:after="0"/>
        <w:ind w:left="0"/>
        <w:jc w:val="both"/>
      </w:pPr>
      <w:r>
        <w:rPr>
          <w:rFonts w:ascii="Times New Roman"/>
          <w:b w:val="false"/>
          <w:i w:val="false"/>
          <w:color w:val="000000"/>
          <w:sz w:val="28"/>
        </w:rPr>
        <w:t>
      5) требования к организации мониторинга рисков, в процессе инвестиционной деятельности Управляющего и брокера и (или) дилера, являющегося Управляющим;</w:t>
      </w:r>
    </w:p>
    <w:p>
      <w:pPr>
        <w:spacing w:after="0"/>
        <w:ind w:left="0"/>
        <w:jc w:val="both"/>
      </w:pPr>
      <w:r>
        <w:rPr>
          <w:rFonts w:ascii="Times New Roman"/>
          <w:b w:val="false"/>
          <w:i w:val="false"/>
          <w:color w:val="000000"/>
          <w:sz w:val="28"/>
        </w:rPr>
        <w:t>
      6) требования к организации мониторинга рисков в процессе деятельности брокера и (или) дилера или Управляющего, являющегося брокером и (или) дилером;</w:t>
      </w:r>
    </w:p>
    <w:p>
      <w:pPr>
        <w:spacing w:after="0"/>
        <w:ind w:left="0"/>
        <w:jc w:val="both"/>
      </w:pPr>
      <w:r>
        <w:rPr>
          <w:rFonts w:ascii="Times New Roman"/>
          <w:b w:val="false"/>
          <w:i w:val="false"/>
          <w:color w:val="000000"/>
          <w:sz w:val="28"/>
        </w:rPr>
        <w:t>
      7) требования к организации внутреннего контроля и внутреннего аудита;</w:t>
      </w:r>
    </w:p>
    <w:p>
      <w:pPr>
        <w:spacing w:after="0"/>
        <w:ind w:left="0"/>
        <w:jc w:val="both"/>
      </w:pPr>
      <w:r>
        <w:rPr>
          <w:rFonts w:ascii="Times New Roman"/>
          <w:b w:val="false"/>
          <w:i w:val="false"/>
          <w:color w:val="000000"/>
          <w:sz w:val="28"/>
        </w:rPr>
        <w:t>
      8) требования к организации системы информационного обмена;</w:t>
      </w:r>
    </w:p>
    <w:p>
      <w:pPr>
        <w:spacing w:after="0"/>
        <w:ind w:left="0"/>
        <w:jc w:val="both"/>
      </w:pPr>
      <w:r>
        <w:rPr>
          <w:rFonts w:ascii="Times New Roman"/>
          <w:b w:val="false"/>
          <w:i w:val="false"/>
          <w:color w:val="000000"/>
          <w:sz w:val="28"/>
        </w:rPr>
        <w:t>
      9) требования к программно-техническому обеспечению, используемому для поддержания системы управления рисками.</w:t>
      </w:r>
    </w:p>
    <w:bookmarkStart w:name="z16" w:id="9"/>
    <w:p>
      <w:pPr>
        <w:spacing w:after="0"/>
        <w:ind w:left="0"/>
        <w:jc w:val="both"/>
      </w:pPr>
      <w:r>
        <w:rPr>
          <w:rFonts w:ascii="Times New Roman"/>
          <w:b w:val="false"/>
          <w:i w:val="false"/>
          <w:color w:val="000000"/>
          <w:sz w:val="28"/>
        </w:rPr>
        <w:t xml:space="preserve">
      3. Банки второго уровня, осуществляющие брокерскую и дилерскую деятельность на рынке ценных бумаг, формируют систему управления рисками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зарегистрированным в Реестре государственной регистрации нормативных правовых актов под № 19632.</w:t>
      </w:r>
    </w:p>
    <w:bookmarkEnd w:id="9"/>
    <w:bookmarkStart w:name="z615" w:id="10"/>
    <w:p>
      <w:pPr>
        <w:spacing w:after="0"/>
        <w:ind w:left="0"/>
        <w:jc w:val="both"/>
      </w:pPr>
      <w:r>
        <w:rPr>
          <w:rFonts w:ascii="Times New Roman"/>
          <w:b w:val="false"/>
          <w:i w:val="false"/>
          <w:color w:val="000000"/>
          <w:sz w:val="28"/>
        </w:rPr>
        <w:t>
      Страховые организации, осуществляющие деятельность в отрасли "страхование жизни", имеющие лицензию уполномоченного органа по регулированию, контролю и надзору финансового рынка и финансовых организаций (далее – уполномоченный орган) на осуществление деятельности по управлению инвестиционным портфелем на рынке ценных бумаг, формируют систему управления рисками в соответствии с </w:t>
      </w:r>
      <w:r>
        <w:rPr>
          <w:rFonts w:ascii="Times New Roman"/>
          <w:b w:val="false"/>
          <w:i w:val="false"/>
          <w:color w:val="000000"/>
          <w:sz w:val="28"/>
        </w:rPr>
        <w:t>постановлением</w:t>
      </w:r>
      <w:r>
        <w:rPr>
          <w:rFonts w:ascii="Times New Roman"/>
          <w:b w:val="false"/>
          <w:i w:val="false"/>
          <w:color w:val="000000"/>
          <w:sz w:val="28"/>
        </w:rPr>
        <w:t> Правления Национального Банка Республики Казахстан от 27 августа 2018 года № 198 "Об утверждении Правил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зарегистрированным в Реестре государственной регистрации нормативных правовых актов под № 17462.</w:t>
      </w:r>
    </w:p>
    <w:bookmarkEnd w:id="10"/>
    <w:bookmarkStart w:name="z616" w:id="11"/>
    <w:p>
      <w:pPr>
        <w:spacing w:after="0"/>
        <w:ind w:left="0"/>
        <w:jc w:val="both"/>
      </w:pPr>
      <w:r>
        <w:rPr>
          <w:rFonts w:ascii="Times New Roman"/>
          <w:b w:val="false"/>
          <w:i w:val="false"/>
          <w:color w:val="000000"/>
          <w:sz w:val="28"/>
        </w:rPr>
        <w:t>
      Требования Правил распространяются на страховые организации, осуществляющие деятельность в отрасли "страхование жизни", имеющие лицензию уполномоченного органа на осуществление деятельности по управлению инвестиционным портфелем на рынке ценных бумаг, в части порядка принятия инвестиционных решений в отношении активов, сформированных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а также порядка составления и содержания рекомендации и инвестиционного решения в отношении таких активов.</w:t>
      </w:r>
    </w:p>
    <w:bookmarkEnd w:id="11"/>
    <w:bookmarkStart w:name="z617" w:id="12"/>
    <w:p>
      <w:pPr>
        <w:spacing w:after="0"/>
        <w:ind w:left="0"/>
        <w:jc w:val="both"/>
      </w:pPr>
      <w:r>
        <w:rPr>
          <w:rFonts w:ascii="Times New Roman"/>
          <w:b w:val="false"/>
          <w:i w:val="false"/>
          <w:color w:val="000000"/>
          <w:sz w:val="28"/>
        </w:rPr>
        <w:t xml:space="preserve">
      Клиринговые организации, осуществляющие брокерскую и (или) дилерскую деятельность на рынке ценных бумаг, формируют систему управления рисками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февраля 2012 года № 59 "Об утверждении Требований к системе управления рисками клиринговой организации, условиям и порядку мониторинга, контроля и управления рисками в клиринговой организации", зарегистрированным в Реестре государственной регистрации нормативных правовых актов под № 7554.</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4. Брокер и (или) дилер или Управляющий, являющийся брокером и (или) дилером, выполняет требования, установленные абзацами восьмым, девятым и десятым подпункта 3) пункта 11, подпунктами 9) и 10) пункта 15, абзацами пятым, шестым и седьмым части второй пункта 28, пунктами 29 и 30, подпунктами 2), 8), 9) пункта 68, пунктами 73, 74, 76, 77, 78, 79 и 80 Правил, в случае исполнения клиентских заказов при отсутствии достаточного количества денег и (или) ценных бумаг у клиента на банковском и (или) лицевом счете данного брокера и (или) дилера или Управляющего, являющегося брокером и (или) дилером, для исполнения данного заказа.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5. Орган управления (наблюдательный совет - для брокера и (или) дилера, созданного в иной, помимо акционерного общества, организационно-правовой форме (далее - наблюдательный совет)) и исполнительный орган брокера и (или) дилера, Управляющего обеспечивают соответствие системы управления рисками требованиям Правил и создают условия для исполнения подразделениями и работниками брокера и (или) дилера, Управляющего возложенных на них обязанностей в области управления рисками.</w:t>
      </w:r>
    </w:p>
    <w:bookmarkEnd w:id="14"/>
    <w:bookmarkStart w:name="z19" w:id="15"/>
    <w:p>
      <w:pPr>
        <w:spacing w:after="0"/>
        <w:ind w:left="0"/>
        <w:jc w:val="both"/>
      </w:pPr>
      <w:r>
        <w:rPr>
          <w:rFonts w:ascii="Times New Roman"/>
          <w:b w:val="false"/>
          <w:i w:val="false"/>
          <w:color w:val="000000"/>
          <w:sz w:val="28"/>
        </w:rPr>
        <w:t>
      6. В Правилах используются следующие понятия:</w:t>
      </w:r>
    </w:p>
    <w:bookmarkEnd w:id="15"/>
    <w:bookmarkStart w:name="z463" w:id="16"/>
    <w:p>
      <w:pPr>
        <w:spacing w:after="0"/>
        <w:ind w:left="0"/>
        <w:jc w:val="both"/>
      </w:pPr>
      <w:r>
        <w:rPr>
          <w:rFonts w:ascii="Times New Roman"/>
          <w:b w:val="false"/>
          <w:i w:val="false"/>
          <w:color w:val="000000"/>
          <w:sz w:val="28"/>
        </w:rPr>
        <w:t>
      1) открытая валютная позиция - превышение требований (обязательств) в валюте отдельного иностранного государства (группы иностранных государств) над обязательствами (требованиями) в той же иностранной валюте;</w:t>
      </w:r>
    </w:p>
    <w:bookmarkEnd w:id="16"/>
    <w:bookmarkStart w:name="z464" w:id="17"/>
    <w:p>
      <w:pPr>
        <w:spacing w:after="0"/>
        <w:ind w:left="0"/>
        <w:jc w:val="both"/>
      </w:pPr>
      <w:r>
        <w:rPr>
          <w:rFonts w:ascii="Times New Roman"/>
          <w:b w:val="false"/>
          <w:i w:val="false"/>
          <w:color w:val="000000"/>
          <w:sz w:val="28"/>
        </w:rPr>
        <w:t>
      2) ценовой риск - риск возникновения расходов (убытков) вследствие изменения стоимости финансовых инструментов, возникающий в случае изменения условий финансовых рынков, влияющих на рыночную стоимость финансовых инструментов;</w:t>
      </w:r>
    </w:p>
    <w:bookmarkEnd w:id="17"/>
    <w:bookmarkStart w:name="z465" w:id="18"/>
    <w:p>
      <w:pPr>
        <w:spacing w:after="0"/>
        <w:ind w:left="0"/>
        <w:jc w:val="both"/>
      </w:pPr>
      <w:r>
        <w:rPr>
          <w:rFonts w:ascii="Times New Roman"/>
          <w:b w:val="false"/>
          <w:i w:val="false"/>
          <w:color w:val="000000"/>
          <w:sz w:val="28"/>
        </w:rPr>
        <w:t>
      3) активы клиентов, принятые Управляющим в инвестиционное управление:</w:t>
      </w:r>
    </w:p>
    <w:bookmarkEnd w:id="18"/>
    <w:bookmarkStart w:name="z466" w:id="19"/>
    <w:p>
      <w:pPr>
        <w:spacing w:after="0"/>
        <w:ind w:left="0"/>
        <w:jc w:val="both"/>
      </w:pPr>
      <w:r>
        <w:rPr>
          <w:rFonts w:ascii="Times New Roman"/>
          <w:b w:val="false"/>
          <w:i w:val="false"/>
          <w:color w:val="000000"/>
          <w:sz w:val="28"/>
        </w:rPr>
        <w:t>
      деньги, ценные бумаги, финансовые инструменты и иное имущество физических и юридических лиц, принятые Управляющим в инвестиционное (доверительное) управление;</w:t>
      </w:r>
    </w:p>
    <w:bookmarkEnd w:id="19"/>
    <w:bookmarkStart w:name="z467" w:id="20"/>
    <w:p>
      <w:pPr>
        <w:spacing w:after="0"/>
        <w:ind w:left="0"/>
        <w:jc w:val="both"/>
      </w:pPr>
      <w:r>
        <w:rPr>
          <w:rFonts w:ascii="Times New Roman"/>
          <w:b w:val="false"/>
          <w:i w:val="false"/>
          <w:color w:val="000000"/>
          <w:sz w:val="28"/>
        </w:rPr>
        <w:t>
      активы инвестиционного фонда, принятого в управление Управляющим;</w:t>
      </w:r>
    </w:p>
    <w:bookmarkEnd w:id="20"/>
    <w:bookmarkStart w:name="z468" w:id="21"/>
    <w:p>
      <w:pPr>
        <w:spacing w:after="0"/>
        <w:ind w:left="0"/>
        <w:jc w:val="both"/>
      </w:pPr>
      <w:r>
        <w:rPr>
          <w:rFonts w:ascii="Times New Roman"/>
          <w:b w:val="false"/>
          <w:i w:val="false"/>
          <w:color w:val="000000"/>
          <w:sz w:val="28"/>
        </w:rPr>
        <w:t>
      пенсионные активы, находящиеся в управлении Управляющего, обладающего лицензией на осуществление деятельности по управлению инвестиционным портфелем с правом привлечения добровольных накопительных пенсионных взносов;</w:t>
      </w:r>
    </w:p>
    <w:bookmarkEnd w:id="21"/>
    <w:bookmarkStart w:name="z469" w:id="22"/>
    <w:p>
      <w:pPr>
        <w:spacing w:after="0"/>
        <w:ind w:left="0"/>
        <w:jc w:val="both"/>
      </w:pPr>
      <w:r>
        <w:rPr>
          <w:rFonts w:ascii="Times New Roman"/>
          <w:b w:val="false"/>
          <w:i w:val="false"/>
          <w:color w:val="000000"/>
          <w:sz w:val="28"/>
        </w:rPr>
        <w:t xml:space="preserve">
      пенсионные активы единого накопительного пенсионного фонда, находящиеся в доверительном управлении Управляющего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пенсионные активы, находящиеся в доверительном управлении);</w:t>
      </w:r>
    </w:p>
    <w:bookmarkEnd w:id="22"/>
    <w:bookmarkStart w:name="z470" w:id="23"/>
    <w:p>
      <w:pPr>
        <w:spacing w:after="0"/>
        <w:ind w:left="0"/>
        <w:jc w:val="both"/>
      </w:pPr>
      <w:r>
        <w:rPr>
          <w:rFonts w:ascii="Times New Roman"/>
          <w:b w:val="false"/>
          <w:i w:val="false"/>
          <w:color w:val="000000"/>
          <w:sz w:val="28"/>
        </w:rPr>
        <w:t>
      4) репутационный риск - риск возникновения расходов (убытков) вследствие негативного общественного мнения или снижения доверия к брокеру и (или) дилеру, Управляющему;</w:t>
      </w:r>
    </w:p>
    <w:bookmarkEnd w:id="23"/>
    <w:bookmarkStart w:name="z471" w:id="24"/>
    <w:p>
      <w:pPr>
        <w:spacing w:after="0"/>
        <w:ind w:left="0"/>
        <w:jc w:val="both"/>
      </w:pPr>
      <w:r>
        <w:rPr>
          <w:rFonts w:ascii="Times New Roman"/>
          <w:b w:val="false"/>
          <w:i w:val="false"/>
          <w:color w:val="000000"/>
          <w:sz w:val="28"/>
        </w:rPr>
        <w:t>
      5) бэк-тестинг - методы проверки эффективности процедур измерения рисков с использованием исторических данных и сравнением рассчитанных результатов с текущими (фактическими) результатами от совершения указанных операций;</w:t>
      </w:r>
    </w:p>
    <w:bookmarkEnd w:id="24"/>
    <w:bookmarkStart w:name="z472" w:id="25"/>
    <w:p>
      <w:pPr>
        <w:spacing w:after="0"/>
        <w:ind w:left="0"/>
        <w:jc w:val="both"/>
      </w:pPr>
      <w:r>
        <w:rPr>
          <w:rFonts w:ascii="Times New Roman"/>
          <w:b w:val="false"/>
          <w:i w:val="false"/>
          <w:color w:val="000000"/>
          <w:sz w:val="28"/>
        </w:rPr>
        <w:t>
      6) валютный риск - риск возникновения расходов (убытков), связанный с изменением курсов иностранных валют. Опасность расходов (убытков) возникает из-за переоценки позиций по валютам в стоимостном выражении;</w:t>
      </w:r>
    </w:p>
    <w:bookmarkEnd w:id="25"/>
    <w:bookmarkStart w:name="z473" w:id="26"/>
    <w:p>
      <w:pPr>
        <w:spacing w:after="0"/>
        <w:ind w:left="0"/>
        <w:jc w:val="both"/>
      </w:pPr>
      <w:r>
        <w:rPr>
          <w:rFonts w:ascii="Times New Roman"/>
          <w:b w:val="false"/>
          <w:i w:val="false"/>
          <w:color w:val="000000"/>
          <w:sz w:val="28"/>
        </w:rPr>
        <w:t>
      7) гэп-позиция - разница между активами клиента и обязательствами по активам клиента, переданным в инвестиционное управление либо на брокерское обслуживание, в зависимости от сроков исполнения данных обязательств, или разница между собственными ликвидными активами и обязательствами брокера и (или) дилера, Управляющего в зависимости от сроков исполнения данных обязательств;</w:t>
      </w:r>
    </w:p>
    <w:bookmarkEnd w:id="26"/>
    <w:bookmarkStart w:name="z474" w:id="27"/>
    <w:p>
      <w:pPr>
        <w:spacing w:after="0"/>
        <w:ind w:left="0"/>
        <w:jc w:val="both"/>
      </w:pPr>
      <w:r>
        <w:rPr>
          <w:rFonts w:ascii="Times New Roman"/>
          <w:b w:val="false"/>
          <w:i w:val="false"/>
          <w:color w:val="000000"/>
          <w:sz w:val="28"/>
        </w:rPr>
        <w:t>
      8) страновой (трансфертный) риск - риск возникновения расходов (убытков) вследствие неплатежеспособности или нежелания иностранного государства или резидента иностранного государства отвечать по обязательствам;</w:t>
      </w:r>
    </w:p>
    <w:bookmarkEnd w:id="27"/>
    <w:bookmarkStart w:name="z475" w:id="28"/>
    <w:p>
      <w:pPr>
        <w:spacing w:after="0"/>
        <w:ind w:left="0"/>
        <w:jc w:val="both"/>
      </w:pPr>
      <w:r>
        <w:rPr>
          <w:rFonts w:ascii="Times New Roman"/>
          <w:b w:val="false"/>
          <w:i w:val="false"/>
          <w:color w:val="000000"/>
          <w:sz w:val="28"/>
        </w:rPr>
        <w:t>
      9) служба внутреннего аудита - подразделение брокера и (или) дилера, Управляющего, основной функцией которого является контроль за финансово-хозяйственной деятельностью брокера и (или) дилера, Управляющего;</w:t>
      </w:r>
    </w:p>
    <w:bookmarkEnd w:id="28"/>
    <w:bookmarkStart w:name="z476" w:id="29"/>
    <w:p>
      <w:pPr>
        <w:spacing w:after="0"/>
        <w:ind w:left="0"/>
        <w:jc w:val="both"/>
      </w:pPr>
      <w:r>
        <w:rPr>
          <w:rFonts w:ascii="Times New Roman"/>
          <w:b w:val="false"/>
          <w:i w:val="false"/>
          <w:color w:val="000000"/>
          <w:sz w:val="28"/>
        </w:rPr>
        <w:t>
      10) система внутреннего контроля - совокупность процедур и политик внутреннего контроля, обеспечивающих реализацию брокером и (или) дилером, Управляющим долгосрочных целей рентабельности и поддержания надежной системы финансовой и управленческой отчетности, способствующей соблюдению законодательства Республики Казахстан о рынке ценных бумаг и инвестиционных фондах, политики брокера и (или) дилера, Управляющего, внутренних правил и процедур, снижению риска убытков или репутационного риска брокера и (или) дилера, Управляющего;</w:t>
      </w:r>
    </w:p>
    <w:bookmarkEnd w:id="29"/>
    <w:bookmarkStart w:name="z477" w:id="30"/>
    <w:p>
      <w:pPr>
        <w:spacing w:after="0"/>
        <w:ind w:left="0"/>
        <w:jc w:val="both"/>
      </w:pPr>
      <w:r>
        <w:rPr>
          <w:rFonts w:ascii="Times New Roman"/>
          <w:b w:val="false"/>
          <w:i w:val="false"/>
          <w:color w:val="000000"/>
          <w:sz w:val="28"/>
        </w:rPr>
        <w:t>
      11) внутренние документы - документы, регулирующие условия и порядок деятельности брокера и (или) дилера, Управляющего, их органов, структурных подразделений (филиалов, представительств), работников;</w:t>
      </w:r>
    </w:p>
    <w:bookmarkEnd w:id="30"/>
    <w:bookmarkStart w:name="z478" w:id="31"/>
    <w:p>
      <w:pPr>
        <w:spacing w:after="0"/>
        <w:ind w:left="0"/>
        <w:jc w:val="both"/>
      </w:pPr>
      <w:r>
        <w:rPr>
          <w:rFonts w:ascii="Times New Roman"/>
          <w:b w:val="false"/>
          <w:i w:val="false"/>
          <w:color w:val="000000"/>
          <w:sz w:val="28"/>
        </w:rPr>
        <w:t>
      12) корпоративное управление - система стратегического и тактического управления брокером и (или) дилером, Управляющим, представляющая собой комплекс взаимоотношений между высшим органом, органом управления (наблюдательным советом), исполнительным органом и иными органами брокера и (или) дилера, Управляющего, направленный на обеспечение эффективного функционирования организации, защиту прав и интересов ее акционеров (участников) и предоставляющая акционерам (участникам) возможность эффективного контроля и мониторинга деятельности брокера и (или) дилера, Управляющего;</w:t>
      </w:r>
    </w:p>
    <w:bookmarkEnd w:id="31"/>
    <w:bookmarkStart w:name="z479" w:id="32"/>
    <w:p>
      <w:pPr>
        <w:spacing w:after="0"/>
        <w:ind w:left="0"/>
        <w:jc w:val="both"/>
      </w:pPr>
      <w:r>
        <w:rPr>
          <w:rFonts w:ascii="Times New Roman"/>
          <w:b w:val="false"/>
          <w:i w:val="false"/>
          <w:color w:val="000000"/>
          <w:sz w:val="28"/>
        </w:rPr>
        <w:t>
      13) кредитный риск - риск возникновения расходов (убытков) вследствие неуплаты или несвоевременной оплаты эмитентом основного долга и вознаграждения, причитающегося инвестору в установленный условиями выпуска ценной бумаги срок, включающий также риск потерь, возникающих в связи с невыполнением партнером обязательств по свопам, опционам, форвардам и иным финансовым инструментам, подверженным кредитному риску, и в период урегулирования расчетов по данным ценным бумагам и финансовым инструментам, либо вследствие невыполнения или несвоевременного выполнения контрпартнером или клиентом своих обязательств, предусмотренных договором или возникших в ходе заключения сделки;</w:t>
      </w:r>
    </w:p>
    <w:bookmarkEnd w:id="32"/>
    <w:bookmarkStart w:name="z480" w:id="33"/>
    <w:p>
      <w:pPr>
        <w:spacing w:after="0"/>
        <w:ind w:left="0"/>
        <w:jc w:val="both"/>
      </w:pPr>
      <w:r>
        <w:rPr>
          <w:rFonts w:ascii="Times New Roman"/>
          <w:b w:val="false"/>
          <w:i w:val="false"/>
          <w:color w:val="000000"/>
          <w:sz w:val="28"/>
        </w:rPr>
        <w:t>
      14) контрпартнер - юридическое лицо, оказывающее услуги брокеру и (или) дилеру, Управляющему в процессе заключения сделок с финансовыми инструментами, совершаемых за счет активов клиентов и (или) собственных активов брокера и (или) дилера, Управляющего, обладающее лицензией либо разрешением, предоставляющими право на совершение сделок с финансовыми инструментами, полученными в соответствии с законодательством государства, на территории которого данное юридическое лицо зарегистрировано в качестве юридического лица;</w:t>
      </w:r>
    </w:p>
    <w:bookmarkEnd w:id="33"/>
    <w:bookmarkStart w:name="z481" w:id="34"/>
    <w:p>
      <w:pPr>
        <w:spacing w:after="0"/>
        <w:ind w:left="0"/>
        <w:jc w:val="both"/>
      </w:pPr>
      <w:r>
        <w:rPr>
          <w:rFonts w:ascii="Times New Roman"/>
          <w:b w:val="false"/>
          <w:i w:val="false"/>
          <w:color w:val="000000"/>
          <w:sz w:val="28"/>
        </w:rPr>
        <w:t>
      15) правовой риск - риск возникновения расходов (убытков) вследствие нарушения брокером и (или) дилером, Управляющим требований законодательства Республики Казахстан о рынке ценных бумаг и инвестиционных фондах либо несоответствия практики брокера и (или) дилера, Управляющего их внутренним документам, а в отношениях с нерезидентами Республики Казахстан - законодательства других государств;</w:t>
      </w:r>
    </w:p>
    <w:bookmarkEnd w:id="34"/>
    <w:bookmarkStart w:name="z482" w:id="35"/>
    <w:p>
      <w:pPr>
        <w:spacing w:after="0"/>
        <w:ind w:left="0"/>
        <w:jc w:val="both"/>
      </w:pPr>
      <w:r>
        <w:rPr>
          <w:rFonts w:ascii="Times New Roman"/>
          <w:b w:val="false"/>
          <w:i w:val="false"/>
          <w:color w:val="000000"/>
          <w:sz w:val="28"/>
        </w:rPr>
        <w:t>
      16) политика инвестирования собственных активов - документ, определяющий перечень объектов инвестирования, цели, стратегии, условия и ограничения инвестиционной деятельности в отношении собственных активов брокера и (или) дилера, Управляющего, условия хеджирования и диверсификации собственных активов;</w:t>
      </w:r>
    </w:p>
    <w:bookmarkEnd w:id="35"/>
    <w:bookmarkStart w:name="z483" w:id="36"/>
    <w:p>
      <w:pPr>
        <w:spacing w:after="0"/>
        <w:ind w:left="0"/>
        <w:jc w:val="both"/>
      </w:pPr>
      <w:r>
        <w:rPr>
          <w:rFonts w:ascii="Times New Roman"/>
          <w:b w:val="false"/>
          <w:i w:val="false"/>
          <w:color w:val="000000"/>
          <w:sz w:val="28"/>
        </w:rPr>
        <w:t>
      17) управление конфликтом интересов - создание механизмов недопущения ситуаций, при которых интересы должностного лица или работника брокера и (или) дилера, Управляющего могут повлиять на объективность и независимость принятия ими решений и исполнения обязанностей, а также вступить в противоречие с их обязательством действовать в интересах клиентов брокера и (или) дилера, Управляющего и (или) акционеров брокера и (или) дилера, Управляющего;</w:t>
      </w:r>
    </w:p>
    <w:bookmarkEnd w:id="36"/>
    <w:bookmarkStart w:name="z484" w:id="37"/>
    <w:p>
      <w:pPr>
        <w:spacing w:after="0"/>
        <w:ind w:left="0"/>
        <w:jc w:val="both"/>
      </w:pPr>
      <w:r>
        <w:rPr>
          <w:rFonts w:ascii="Times New Roman"/>
          <w:b w:val="false"/>
          <w:i w:val="false"/>
          <w:color w:val="000000"/>
          <w:sz w:val="28"/>
        </w:rPr>
        <w:t>
      18) рыночный риск - риск возникновения расходов (убытков), связанных с неблагоприятной ситуацией на финансовых рынках. Рыночный риск имеет макроэкономическую природу, то есть источниками рыночных рисков являются макроэкономические показатели финансовой системы;</w:t>
      </w:r>
    </w:p>
    <w:bookmarkEnd w:id="37"/>
    <w:bookmarkStart w:name="z485" w:id="38"/>
    <w:p>
      <w:pPr>
        <w:spacing w:after="0"/>
        <w:ind w:left="0"/>
        <w:jc w:val="both"/>
      </w:pPr>
      <w:r>
        <w:rPr>
          <w:rFonts w:ascii="Times New Roman"/>
          <w:b w:val="false"/>
          <w:i w:val="false"/>
          <w:color w:val="000000"/>
          <w:sz w:val="28"/>
        </w:rPr>
        <w:t>
      19) операционный риск - риск возникновения расходов (убытков) в результате недостатков или ошибок в ходе осуществления внутренних процессов, допущенных со стороны сотрудников, функционирования информационных систем и технологий, а также вследствие внешних событий, включающий в себя риски, связанные с:</w:t>
      </w:r>
    </w:p>
    <w:bookmarkEnd w:id="38"/>
    <w:bookmarkStart w:name="z486" w:id="39"/>
    <w:p>
      <w:pPr>
        <w:spacing w:after="0"/>
        <w:ind w:left="0"/>
        <w:jc w:val="both"/>
      </w:pPr>
      <w:r>
        <w:rPr>
          <w:rFonts w:ascii="Times New Roman"/>
          <w:b w:val="false"/>
          <w:i w:val="false"/>
          <w:color w:val="000000"/>
          <w:sz w:val="28"/>
        </w:rPr>
        <w:t>
      неопределенной и неэффективной организационной структурой брокера и (или) дилера, Управляющего, включая распределение ответственности, структуру подотчетности и управления;</w:t>
      </w:r>
    </w:p>
    <w:bookmarkEnd w:id="39"/>
    <w:bookmarkStart w:name="z487" w:id="40"/>
    <w:p>
      <w:pPr>
        <w:spacing w:after="0"/>
        <w:ind w:left="0"/>
        <w:jc w:val="both"/>
      </w:pPr>
      <w:r>
        <w:rPr>
          <w:rFonts w:ascii="Times New Roman"/>
          <w:b w:val="false"/>
          <w:i w:val="false"/>
          <w:color w:val="000000"/>
          <w:sz w:val="28"/>
        </w:rPr>
        <w:t>
      неэффективными стратегиями, политиками и (или) стандартами в области информационных технологий, недостатками в использовании программного обеспечения;</w:t>
      </w:r>
    </w:p>
    <w:bookmarkEnd w:id="40"/>
    <w:bookmarkStart w:name="z488" w:id="41"/>
    <w:p>
      <w:pPr>
        <w:spacing w:after="0"/>
        <w:ind w:left="0"/>
        <w:jc w:val="both"/>
      </w:pPr>
      <w:r>
        <w:rPr>
          <w:rFonts w:ascii="Times New Roman"/>
          <w:b w:val="false"/>
          <w:i w:val="false"/>
          <w:color w:val="000000"/>
          <w:sz w:val="28"/>
        </w:rPr>
        <w:t>
      не соответствующей действительности информацией либо ее несоответствующим использованием;</w:t>
      </w:r>
    </w:p>
    <w:bookmarkEnd w:id="41"/>
    <w:bookmarkStart w:name="z489" w:id="42"/>
    <w:p>
      <w:pPr>
        <w:spacing w:after="0"/>
        <w:ind w:left="0"/>
        <w:jc w:val="both"/>
      </w:pPr>
      <w:r>
        <w:rPr>
          <w:rFonts w:ascii="Times New Roman"/>
          <w:b w:val="false"/>
          <w:i w:val="false"/>
          <w:color w:val="000000"/>
          <w:sz w:val="28"/>
        </w:rPr>
        <w:t>
      неэффективным управлением персоналом и (или) неквалифицированным штатом брокера и (или) дилера, Управляющего;</w:t>
      </w:r>
    </w:p>
    <w:bookmarkEnd w:id="42"/>
    <w:bookmarkStart w:name="z490" w:id="43"/>
    <w:p>
      <w:pPr>
        <w:spacing w:after="0"/>
        <w:ind w:left="0"/>
        <w:jc w:val="both"/>
      </w:pPr>
      <w:r>
        <w:rPr>
          <w:rFonts w:ascii="Times New Roman"/>
          <w:b w:val="false"/>
          <w:i w:val="false"/>
          <w:color w:val="000000"/>
          <w:sz w:val="28"/>
        </w:rPr>
        <w:t>
      недостаточно эффективным построением процессов осуществления деятельности брокера и (или) дилера, Управляющего либо слабым контролем соблюдения внутренних правил;</w:t>
      </w:r>
    </w:p>
    <w:bookmarkEnd w:id="43"/>
    <w:bookmarkStart w:name="z491" w:id="44"/>
    <w:p>
      <w:pPr>
        <w:spacing w:after="0"/>
        <w:ind w:left="0"/>
        <w:jc w:val="both"/>
      </w:pPr>
      <w:r>
        <w:rPr>
          <w:rFonts w:ascii="Times New Roman"/>
          <w:b w:val="false"/>
          <w:i w:val="false"/>
          <w:color w:val="000000"/>
          <w:sz w:val="28"/>
        </w:rPr>
        <w:t>
      непредвиденными или неконтролируемыми факторами внешнего воздействия на деятельность брокера и (или) дилера, Управляющего;</w:t>
      </w:r>
    </w:p>
    <w:bookmarkEnd w:id="44"/>
    <w:bookmarkStart w:name="z492" w:id="45"/>
    <w:p>
      <w:pPr>
        <w:spacing w:after="0"/>
        <w:ind w:left="0"/>
        <w:jc w:val="both"/>
      </w:pPr>
      <w:r>
        <w:rPr>
          <w:rFonts w:ascii="Times New Roman"/>
          <w:b w:val="false"/>
          <w:i w:val="false"/>
          <w:color w:val="000000"/>
          <w:sz w:val="28"/>
        </w:rPr>
        <w:t>
      наличием недостатков или ошибок во внутренних документах (правилах), регламентирующих деятельность брокера и (или) дилера, Управляющего;</w:t>
      </w:r>
    </w:p>
    <w:bookmarkEnd w:id="45"/>
    <w:bookmarkStart w:name="z493" w:id="46"/>
    <w:p>
      <w:pPr>
        <w:spacing w:after="0"/>
        <w:ind w:left="0"/>
        <w:jc w:val="both"/>
      </w:pPr>
      <w:r>
        <w:rPr>
          <w:rFonts w:ascii="Times New Roman"/>
          <w:b w:val="false"/>
          <w:i w:val="false"/>
          <w:color w:val="000000"/>
          <w:sz w:val="28"/>
        </w:rPr>
        <w:t>
      непрофессиональными действиями руководства и персонала брокера и (или) дилера, Управляющего, повлекшими за собой сужение клиентской базы, недоверие или негативное восприятие брокера и (или) дилера, Управляющего клиентами и (или) контрпартнерами;</w:t>
      </w:r>
    </w:p>
    <w:bookmarkEnd w:id="46"/>
    <w:bookmarkStart w:name="z494" w:id="47"/>
    <w:p>
      <w:pPr>
        <w:spacing w:after="0"/>
        <w:ind w:left="0"/>
        <w:jc w:val="both"/>
      </w:pPr>
      <w:r>
        <w:rPr>
          <w:rFonts w:ascii="Times New Roman"/>
          <w:b w:val="false"/>
          <w:i w:val="false"/>
          <w:color w:val="000000"/>
          <w:sz w:val="28"/>
        </w:rPr>
        <w:t>
      20) риск потери ликвидности - риск, связанный с возможным невыполнением либо несвоевременным выполнением обязательств. Риск потери ликвидности ценных бумаг как активов определяется возможностью их быстрой реализации с низкими издержками и по приемлемым ценам;</w:t>
      </w:r>
    </w:p>
    <w:bookmarkEnd w:id="47"/>
    <w:bookmarkStart w:name="z495" w:id="48"/>
    <w:p>
      <w:pPr>
        <w:spacing w:after="0"/>
        <w:ind w:left="0"/>
        <w:jc w:val="both"/>
      </w:pPr>
      <w:r>
        <w:rPr>
          <w:rFonts w:ascii="Times New Roman"/>
          <w:b w:val="false"/>
          <w:i w:val="false"/>
          <w:color w:val="000000"/>
          <w:sz w:val="28"/>
        </w:rPr>
        <w:t>
      21) процентный риск - риск возникновения расходов (убытков) вследствие неблагоприятного изменения ставок вознаграждения, включающий в себя риски, связанные с:</w:t>
      </w:r>
    </w:p>
    <w:bookmarkEnd w:id="48"/>
    <w:bookmarkStart w:name="z496" w:id="49"/>
    <w:p>
      <w:pPr>
        <w:spacing w:after="0"/>
        <w:ind w:left="0"/>
        <w:jc w:val="both"/>
      </w:pPr>
      <w:r>
        <w:rPr>
          <w:rFonts w:ascii="Times New Roman"/>
          <w:b w:val="false"/>
          <w:i w:val="false"/>
          <w:color w:val="000000"/>
          <w:sz w:val="28"/>
        </w:rPr>
        <w:t>
      возникновением расходов (убытков) из-за несоответствия сроков возврата и погашения размещенных активов и привлеченных обязательств (при фиксированных ставках вознаграждения);</w:t>
      </w:r>
    </w:p>
    <w:bookmarkEnd w:id="49"/>
    <w:bookmarkStart w:name="z497" w:id="50"/>
    <w:p>
      <w:pPr>
        <w:spacing w:after="0"/>
        <w:ind w:left="0"/>
        <w:jc w:val="both"/>
      </w:pPr>
      <w:r>
        <w:rPr>
          <w:rFonts w:ascii="Times New Roman"/>
          <w:b w:val="false"/>
          <w:i w:val="false"/>
          <w:color w:val="000000"/>
          <w:sz w:val="28"/>
        </w:rPr>
        <w:t>
      применением различных методов начисления и корректировки получаемого и уплачиваемого вознаграждения по ряду инструментов, которые при прочих равных условиях имеют сходные ценовые характеристики (базисный риск);</w:t>
      </w:r>
    </w:p>
    <w:bookmarkEnd w:id="50"/>
    <w:bookmarkStart w:name="z498" w:id="51"/>
    <w:p>
      <w:pPr>
        <w:spacing w:after="0"/>
        <w:ind w:left="0"/>
        <w:jc w:val="both"/>
      </w:pPr>
      <w:r>
        <w:rPr>
          <w:rFonts w:ascii="Times New Roman"/>
          <w:b w:val="false"/>
          <w:i w:val="false"/>
          <w:color w:val="000000"/>
          <w:sz w:val="28"/>
        </w:rPr>
        <w:t>
      22) стресс-тестинг - методы измерения потенциального влияния на финансовое положение юридического или физического лица исключительных, но возможных событий, которые могут оказать влияние на деятельность юридического или физического лица;</w:t>
      </w:r>
    </w:p>
    <w:bookmarkEnd w:id="51"/>
    <w:bookmarkStart w:name="z499" w:id="52"/>
    <w:p>
      <w:pPr>
        <w:spacing w:after="0"/>
        <w:ind w:left="0"/>
        <w:jc w:val="both"/>
      </w:pPr>
      <w:r>
        <w:rPr>
          <w:rFonts w:ascii="Times New Roman"/>
          <w:b w:val="false"/>
          <w:i w:val="false"/>
          <w:color w:val="000000"/>
          <w:sz w:val="28"/>
        </w:rPr>
        <w:t>
      23) система управления рисками - процесс, включающий четыре основных элемента: оценка риска, измерение риска, контроль риска и мониторинг риска;</w:t>
      </w:r>
    </w:p>
    <w:bookmarkEnd w:id="52"/>
    <w:bookmarkStart w:name="z500" w:id="53"/>
    <w:p>
      <w:pPr>
        <w:spacing w:after="0"/>
        <w:ind w:left="0"/>
        <w:jc w:val="both"/>
      </w:pPr>
      <w:r>
        <w:rPr>
          <w:rFonts w:ascii="Times New Roman"/>
          <w:b w:val="false"/>
          <w:i w:val="false"/>
          <w:color w:val="000000"/>
          <w:sz w:val="28"/>
        </w:rPr>
        <w:t>
      24) риск неплатежеспособности - риск неисполнения клиентом брокера и (или) дилера или Управляющего, являющегося брокером и (или) дилером, с которым заключен договор на брокерское обслуживание, обязательств по поставке денег и (или) ценных бумаг, возникших в результате заключения сделки;</w:t>
      </w:r>
    </w:p>
    <w:bookmarkEnd w:id="53"/>
    <w:bookmarkStart w:name="z501" w:id="54"/>
    <w:p>
      <w:pPr>
        <w:spacing w:after="0"/>
        <w:ind w:left="0"/>
        <w:jc w:val="both"/>
      </w:pPr>
      <w:r>
        <w:rPr>
          <w:rFonts w:ascii="Times New Roman"/>
          <w:b w:val="false"/>
          <w:i w:val="false"/>
          <w:color w:val="000000"/>
          <w:sz w:val="28"/>
        </w:rPr>
        <w:t>
      25) форс-мажорное обстоятельство - чрезвычайное и непредотвратимое (при данных условиях) событие (непреодолимая сила);</w:t>
      </w:r>
    </w:p>
    <w:bookmarkEnd w:id="54"/>
    <w:bookmarkStart w:name="z502" w:id="55"/>
    <w:p>
      <w:pPr>
        <w:spacing w:after="0"/>
        <w:ind w:left="0"/>
        <w:jc w:val="both"/>
      </w:pPr>
      <w:r>
        <w:rPr>
          <w:rFonts w:ascii="Times New Roman"/>
          <w:b w:val="false"/>
          <w:i w:val="false"/>
          <w:color w:val="000000"/>
          <w:sz w:val="28"/>
        </w:rPr>
        <w:t>
      26) лимиты "stop-loss" - предельно допустимый уровень потерь по операциям с финансовыми инструментами;</w:t>
      </w:r>
    </w:p>
    <w:bookmarkEnd w:id="55"/>
    <w:bookmarkStart w:name="z503" w:id="56"/>
    <w:p>
      <w:pPr>
        <w:spacing w:after="0"/>
        <w:ind w:left="0"/>
        <w:jc w:val="both"/>
      </w:pPr>
      <w:r>
        <w:rPr>
          <w:rFonts w:ascii="Times New Roman"/>
          <w:b w:val="false"/>
          <w:i w:val="false"/>
          <w:color w:val="000000"/>
          <w:sz w:val="28"/>
        </w:rPr>
        <w:t>
      27) лимиты "take profit" - предельно допустимый уровень доходов по операциям с финансовыми инструментами;</w:t>
      </w:r>
    </w:p>
    <w:bookmarkEnd w:id="56"/>
    <w:bookmarkStart w:name="z504" w:id="57"/>
    <w:p>
      <w:pPr>
        <w:spacing w:after="0"/>
        <w:ind w:left="0"/>
        <w:jc w:val="both"/>
      </w:pPr>
      <w:r>
        <w:rPr>
          <w:rFonts w:ascii="Times New Roman"/>
          <w:b w:val="false"/>
          <w:i w:val="false"/>
          <w:color w:val="000000"/>
          <w:sz w:val="28"/>
        </w:rPr>
        <w:t>
      28) VAR (Value at Risk) модель - модель, характеризующая максимально возможные потери по определенным позициям инвестиционного портфеля в течение заданного периода времени с заданной степенью вероятности.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15.02.2021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58"/>
    <w:p>
      <w:pPr>
        <w:spacing w:after="0"/>
        <w:ind w:left="0"/>
        <w:jc w:val="both"/>
      </w:pPr>
      <w:r>
        <w:rPr>
          <w:rFonts w:ascii="Times New Roman"/>
          <w:b w:val="false"/>
          <w:i w:val="false"/>
          <w:color w:val="000000"/>
          <w:sz w:val="28"/>
        </w:rPr>
        <w:t xml:space="preserve">
      7. Брокеры и (или) дилеры, Управляющие ежегодно не позднее 1 июля года, следующего за отчетным, представляют в уполномоченный орган отчет по оценке выполнения требований к системе управления рисками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 который содержит:</w:t>
      </w:r>
    </w:p>
    <w:bookmarkEnd w:id="58"/>
    <w:p>
      <w:pPr>
        <w:spacing w:after="0"/>
        <w:ind w:left="0"/>
        <w:jc w:val="both"/>
      </w:pPr>
      <w:r>
        <w:rPr>
          <w:rFonts w:ascii="Times New Roman"/>
          <w:b w:val="false"/>
          <w:i w:val="false"/>
          <w:color w:val="000000"/>
          <w:sz w:val="28"/>
        </w:rPr>
        <w:t>
      1) полный перечень требований к системе управления рисками;</w:t>
      </w:r>
    </w:p>
    <w:p>
      <w:pPr>
        <w:spacing w:after="0"/>
        <w:ind w:left="0"/>
        <w:jc w:val="both"/>
      </w:pPr>
      <w:r>
        <w:rPr>
          <w:rFonts w:ascii="Times New Roman"/>
          <w:b w:val="false"/>
          <w:i w:val="false"/>
          <w:color w:val="000000"/>
          <w:sz w:val="28"/>
        </w:rPr>
        <w:t>
      2) самостоятельную оценку соответствия (несоответствия) требованиям к системе управления рисками;</w:t>
      </w:r>
    </w:p>
    <w:p>
      <w:pPr>
        <w:spacing w:after="0"/>
        <w:ind w:left="0"/>
        <w:jc w:val="both"/>
      </w:pPr>
      <w:r>
        <w:rPr>
          <w:rFonts w:ascii="Times New Roman"/>
          <w:b w:val="false"/>
          <w:i w:val="false"/>
          <w:color w:val="000000"/>
          <w:sz w:val="28"/>
        </w:rPr>
        <w:t>
      3) в случае выявления недостатков в системе управления рисками план мероприятий по их устранению с указанием недостатка, который нуждается в исправлении, мероприятий, необходимых для исправления недостатка, ответственных лиц и конкретных сроков исполнения мероприятий.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25.05.2020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4" w:id="59"/>
    <w:p>
      <w:pPr>
        <w:spacing w:after="0"/>
        <w:ind w:left="0"/>
        <w:jc w:val="both"/>
      </w:pPr>
      <w:r>
        <w:rPr>
          <w:rFonts w:ascii="Times New Roman"/>
          <w:b w:val="false"/>
          <w:i w:val="false"/>
          <w:color w:val="000000"/>
          <w:sz w:val="28"/>
        </w:rPr>
        <w:t>
      7-1. Уполномоченный орган в рамках оценки эффективности системы управления рисками и внутреннего контроля брокера и (или) дилера, Управляющего руководствуется следующими принципами:</w:t>
      </w:r>
    </w:p>
    <w:bookmarkEnd w:id="59"/>
    <w:bookmarkStart w:name="z585" w:id="60"/>
    <w:p>
      <w:pPr>
        <w:spacing w:after="0"/>
        <w:ind w:left="0"/>
        <w:jc w:val="both"/>
      </w:pPr>
      <w:r>
        <w:rPr>
          <w:rFonts w:ascii="Times New Roman"/>
          <w:b w:val="false"/>
          <w:i w:val="false"/>
          <w:color w:val="000000"/>
          <w:sz w:val="28"/>
        </w:rPr>
        <w:t>
      1) преобладание сущности над формой, выражающееся в оценке системы управления рисками как механизма измерения и оценки, мониторинга, контроля, и минимизации рисков, а не формально регламентированных процедур и соблюдения требований законодательства Республики Казахстан;</w:t>
      </w:r>
    </w:p>
    <w:bookmarkEnd w:id="60"/>
    <w:bookmarkStart w:name="z586" w:id="61"/>
    <w:p>
      <w:pPr>
        <w:spacing w:after="0"/>
        <w:ind w:left="0"/>
        <w:jc w:val="both"/>
      </w:pPr>
      <w:r>
        <w:rPr>
          <w:rFonts w:ascii="Times New Roman"/>
          <w:b w:val="false"/>
          <w:i w:val="false"/>
          <w:color w:val="000000"/>
          <w:sz w:val="28"/>
        </w:rPr>
        <w:t>
      2) пропорциональность при осуществлении функций по контролю и надзору, а также при применении по результатам контроля и надзора мер, предусмотренных законами Республики Казахстан исходя из принятой бизнес модели, масштаба деятельности, видов и сложности операций и в зависимости от принимаемых на себя рисков.</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7-1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62"/>
    <w:p>
      <w:pPr>
        <w:spacing w:after="0"/>
        <w:ind w:left="0"/>
        <w:jc w:val="both"/>
      </w:pPr>
      <w:r>
        <w:rPr>
          <w:rFonts w:ascii="Times New Roman"/>
          <w:b w:val="false"/>
          <w:i w:val="false"/>
          <w:color w:val="000000"/>
          <w:sz w:val="28"/>
        </w:rPr>
        <w:t>
      8. Стресс-тестинг по рискам, которым подвержена деятельность брокера и (или) дилера или Управляющего, являющегося брокером и (или) дилером, по собственным активам Управляющего и брокера и (или) дилера, являющегося Управляющим, и активам клиентов, принятым в инвестиционное управление, рассчитывается не реже одного раза в полгода.</w:t>
      </w:r>
    </w:p>
    <w:bookmarkEnd w:id="62"/>
    <w:p>
      <w:pPr>
        <w:spacing w:after="0"/>
        <w:ind w:left="0"/>
        <w:jc w:val="both"/>
      </w:pPr>
      <w:r>
        <w:rPr>
          <w:rFonts w:ascii="Times New Roman"/>
          <w:b w:val="false"/>
          <w:i w:val="false"/>
          <w:color w:val="000000"/>
          <w:sz w:val="28"/>
        </w:rPr>
        <w:t>
      Результаты стресс-тестинга по рискам, которым подвержена деятельность брокера и (или) дилера или Управляющего, являющегося брокером и (или) дилером, оформляются в соответствии с внутренними документами Управляющего и брокера и (или) дилера, являющегося Управляющим, и содержат следующую информацию:</w:t>
      </w:r>
    </w:p>
    <w:p>
      <w:pPr>
        <w:spacing w:after="0"/>
        <w:ind w:left="0"/>
        <w:jc w:val="both"/>
      </w:pPr>
      <w:r>
        <w:rPr>
          <w:rFonts w:ascii="Times New Roman"/>
          <w:b w:val="false"/>
          <w:i w:val="false"/>
          <w:color w:val="000000"/>
          <w:sz w:val="28"/>
        </w:rPr>
        <w:t>
      описание сценария стресс-теста;</w:t>
      </w:r>
    </w:p>
    <w:p>
      <w:pPr>
        <w:spacing w:after="0"/>
        <w:ind w:left="0"/>
        <w:jc w:val="both"/>
      </w:pPr>
      <w:r>
        <w:rPr>
          <w:rFonts w:ascii="Times New Roman"/>
          <w:b w:val="false"/>
          <w:i w:val="false"/>
          <w:color w:val="000000"/>
          <w:sz w:val="28"/>
        </w:rPr>
        <w:t>
      обоснование выбранного сценария стресс-теста;</w:t>
      </w:r>
    </w:p>
    <w:p>
      <w:pPr>
        <w:spacing w:after="0"/>
        <w:ind w:left="0"/>
        <w:jc w:val="both"/>
      </w:pPr>
      <w:r>
        <w:rPr>
          <w:rFonts w:ascii="Times New Roman"/>
          <w:b w:val="false"/>
          <w:i w:val="false"/>
          <w:color w:val="000000"/>
          <w:sz w:val="28"/>
        </w:rPr>
        <w:t>
      рекомендации по результатам стресс-тестинга.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постановлением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63"/>
    <w:p>
      <w:pPr>
        <w:spacing w:after="0"/>
        <w:ind w:left="0"/>
        <w:jc w:val="both"/>
      </w:pPr>
      <w:r>
        <w:rPr>
          <w:rFonts w:ascii="Times New Roman"/>
          <w:b w:val="false"/>
          <w:i w:val="false"/>
          <w:color w:val="000000"/>
          <w:sz w:val="28"/>
        </w:rPr>
        <w:t>
      9-1. Управляющий, брокер и (или) дилер, являющийся Управляющим, обеспечивают резервирование и хранение информации, изложенной в пункте 8 Правил, на бумажном носителе и (или) в форме электронного документа, обеспечивающих конфиденциальность и некорректируемость данных.</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9-1 в соответствии с постановлением Правления Национального Банка РК от 03.02.2014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3" w:id="64"/>
    <w:p>
      <w:pPr>
        <w:spacing w:after="0"/>
        <w:ind w:left="0"/>
        <w:jc w:val="both"/>
      </w:pPr>
      <w:r>
        <w:rPr>
          <w:rFonts w:ascii="Times New Roman"/>
          <w:b w:val="false"/>
          <w:i w:val="false"/>
          <w:color w:val="000000"/>
          <w:sz w:val="28"/>
        </w:rPr>
        <w:t>
      9-2. В случае привлечения крупных участников, руководящих работников брокера и (или) дилера, Управляющего к уголовной ответственности брокер и (или) дилер, Управляющий уведомляет уполномоченный орган в течение пяти рабочих дней со дня, когда данная информация стала известна брокеру и (или) дилеру, Управляющему.</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9-2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4" w:id="65"/>
    <w:p>
      <w:pPr>
        <w:spacing w:after="0"/>
        <w:ind w:left="0"/>
        <w:jc w:val="both"/>
      </w:pPr>
      <w:r>
        <w:rPr>
          <w:rFonts w:ascii="Times New Roman"/>
          <w:b w:val="false"/>
          <w:i w:val="false"/>
          <w:color w:val="000000"/>
          <w:sz w:val="28"/>
        </w:rPr>
        <w:t>
      9-3. Реклама, связанная с лицензируемым видом деятельности брокера и (или) дилера, Управляющего, подлежит утверждению исполнительным органом брокера и (или) дилера, Управляющего.</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9-3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66"/>
    <w:p>
      <w:pPr>
        <w:spacing w:after="0"/>
        <w:ind w:left="0"/>
        <w:jc w:val="left"/>
      </w:pPr>
      <w:r>
        <w:rPr>
          <w:rFonts w:ascii="Times New Roman"/>
          <w:b/>
          <w:i w:val="false"/>
          <w:color w:val="000000"/>
        </w:rPr>
        <w:t xml:space="preserve">  Глава 2. Базовые требования к наличию системы управления рисками</w:t>
      </w:r>
    </w:p>
    <w:bookmarkEnd w:id="66"/>
    <w:p>
      <w:pPr>
        <w:spacing w:after="0"/>
        <w:ind w:left="0"/>
        <w:jc w:val="both"/>
      </w:pPr>
      <w:r>
        <w:rPr>
          <w:rFonts w:ascii="Times New Roman"/>
          <w:b w:val="false"/>
          <w:i w:val="false"/>
          <w:color w:val="ff0000"/>
          <w:sz w:val="28"/>
        </w:rPr>
        <w:t xml:space="preserve">
      Сноска. Заголовок главы 2 -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 w:id="67"/>
    <w:p>
      <w:pPr>
        <w:spacing w:after="0"/>
        <w:ind w:left="0"/>
        <w:jc w:val="both"/>
      </w:pPr>
      <w:r>
        <w:rPr>
          <w:rFonts w:ascii="Times New Roman"/>
          <w:b w:val="false"/>
          <w:i w:val="false"/>
          <w:color w:val="000000"/>
          <w:sz w:val="28"/>
        </w:rPr>
        <w:t>
      10. Наличие системы управления рисками в брокере и (или) дилере, Управляющем предусматривает соответствие деятельности брокера и (или) дилера, Управляющего требованиям по корпоративному управлению, наличию практики проведения операций в рамках лицензируемого вида деятельности, практики управления активами и обязательствами, функционированию информационных систем и систем управленческой информации.</w:t>
      </w:r>
    </w:p>
    <w:bookmarkEnd w:id="67"/>
    <w:bookmarkStart w:name="z53" w:id="68"/>
    <w:p>
      <w:pPr>
        <w:spacing w:after="0"/>
        <w:ind w:left="0"/>
        <w:jc w:val="both"/>
      </w:pPr>
      <w:r>
        <w:rPr>
          <w:rFonts w:ascii="Times New Roman"/>
          <w:b w:val="false"/>
          <w:i w:val="false"/>
          <w:color w:val="000000"/>
          <w:sz w:val="28"/>
        </w:rPr>
        <w:t>
      11. Система управления рисками брокера и (или) дилера охватывает следующие направления его деятельности:</w:t>
      </w:r>
    </w:p>
    <w:bookmarkEnd w:id="68"/>
    <w:p>
      <w:pPr>
        <w:spacing w:after="0"/>
        <w:ind w:left="0"/>
        <w:jc w:val="both"/>
      </w:pPr>
      <w:r>
        <w:rPr>
          <w:rFonts w:ascii="Times New Roman"/>
          <w:b w:val="false"/>
          <w:i w:val="false"/>
          <w:color w:val="000000"/>
          <w:sz w:val="28"/>
        </w:rPr>
        <w:t>
      1) проведение регулярного анализа основных показателей рынка ценных бумаг и прогнозирование их изменений с учетом влияния макро- и микроэкономических факторов;</w:t>
      </w:r>
    </w:p>
    <w:p>
      <w:pPr>
        <w:spacing w:after="0"/>
        <w:ind w:left="0"/>
        <w:jc w:val="both"/>
      </w:pPr>
      <w:r>
        <w:rPr>
          <w:rFonts w:ascii="Times New Roman"/>
          <w:b w:val="false"/>
          <w:i w:val="false"/>
          <w:color w:val="000000"/>
          <w:sz w:val="28"/>
        </w:rPr>
        <w:t>
      2) разработка и утверждение политики инвестирования собственных активов;</w:t>
      </w:r>
    </w:p>
    <w:p>
      <w:pPr>
        <w:spacing w:after="0"/>
        <w:ind w:left="0"/>
        <w:jc w:val="both"/>
      </w:pPr>
      <w:r>
        <w:rPr>
          <w:rFonts w:ascii="Times New Roman"/>
          <w:b w:val="false"/>
          <w:i w:val="false"/>
          <w:color w:val="000000"/>
          <w:sz w:val="28"/>
        </w:rPr>
        <w:t>
      3) определение порядка организации работы с клиентами, включающего:</w:t>
      </w:r>
    </w:p>
    <w:p>
      <w:pPr>
        <w:spacing w:after="0"/>
        <w:ind w:left="0"/>
        <w:jc w:val="both"/>
      </w:pPr>
      <w:r>
        <w:rPr>
          <w:rFonts w:ascii="Times New Roman"/>
          <w:b w:val="false"/>
          <w:i w:val="false"/>
          <w:color w:val="000000"/>
          <w:sz w:val="28"/>
        </w:rPr>
        <w:t>
      процедуры, обеспечивающие своевременность принятия и исполнения клиентских заказов;</w:t>
      </w:r>
    </w:p>
    <w:p>
      <w:pPr>
        <w:spacing w:after="0"/>
        <w:ind w:left="0"/>
        <w:jc w:val="both"/>
      </w:pPr>
      <w:r>
        <w:rPr>
          <w:rFonts w:ascii="Times New Roman"/>
          <w:b w:val="false"/>
          <w:i w:val="false"/>
          <w:color w:val="000000"/>
          <w:sz w:val="28"/>
        </w:rPr>
        <w:t>
      процедуры, обеспечивающие рассмотрение по существу в установленный срок жалоб и обращений клиентов;</w:t>
      </w:r>
    </w:p>
    <w:p>
      <w:pPr>
        <w:spacing w:after="0"/>
        <w:ind w:left="0"/>
        <w:jc w:val="both"/>
      </w:pPr>
      <w:r>
        <w:rPr>
          <w:rFonts w:ascii="Times New Roman"/>
          <w:b w:val="false"/>
          <w:i w:val="false"/>
          <w:color w:val="000000"/>
          <w:sz w:val="28"/>
        </w:rPr>
        <w:t>
      процедуры, обеспечивающие своевременность исполнения сделок за счет активов клиентов и (или) собственных активов;</w:t>
      </w:r>
    </w:p>
    <w:p>
      <w:pPr>
        <w:spacing w:after="0"/>
        <w:ind w:left="0"/>
        <w:jc w:val="both"/>
      </w:pPr>
      <w:r>
        <w:rPr>
          <w:rFonts w:ascii="Times New Roman"/>
          <w:b w:val="false"/>
          <w:i w:val="false"/>
          <w:color w:val="000000"/>
          <w:sz w:val="28"/>
        </w:rPr>
        <w:t>
      процедуры, обеспечивающие соответствие учета активов клиентов требованиям законодательства Республики Казахстан о рынке ценных бумаг и бухгалтерском учете;</w:t>
      </w:r>
    </w:p>
    <w:p>
      <w:pPr>
        <w:spacing w:after="0"/>
        <w:ind w:left="0"/>
        <w:jc w:val="both"/>
      </w:pPr>
      <w:r>
        <w:rPr>
          <w:rFonts w:ascii="Times New Roman"/>
          <w:b w:val="false"/>
          <w:i w:val="false"/>
          <w:color w:val="000000"/>
          <w:sz w:val="28"/>
        </w:rPr>
        <w:t>
      порядок осуществления проверки правильности порядка определения и начисления вознаграждения;</w:t>
      </w:r>
    </w:p>
    <w:p>
      <w:pPr>
        <w:spacing w:after="0"/>
        <w:ind w:left="0"/>
        <w:jc w:val="both"/>
      </w:pPr>
      <w:r>
        <w:rPr>
          <w:rFonts w:ascii="Times New Roman"/>
          <w:b w:val="false"/>
          <w:i w:val="false"/>
          <w:color w:val="000000"/>
          <w:sz w:val="28"/>
        </w:rPr>
        <w:t>
      процедуры, направленные на предотвращение случаев неправомерного использования средств клиентов;</w:t>
      </w:r>
    </w:p>
    <w:p>
      <w:pPr>
        <w:spacing w:after="0"/>
        <w:ind w:left="0"/>
        <w:jc w:val="both"/>
      </w:pPr>
      <w:r>
        <w:rPr>
          <w:rFonts w:ascii="Times New Roman"/>
          <w:b w:val="false"/>
          <w:i w:val="false"/>
          <w:color w:val="000000"/>
          <w:sz w:val="28"/>
        </w:rPr>
        <w:t>
      процедуры по мониторингу и анализу финансового состояния и платежеспособности клиентов;</w:t>
      </w:r>
    </w:p>
    <w:p>
      <w:pPr>
        <w:spacing w:after="0"/>
        <w:ind w:left="0"/>
        <w:jc w:val="both"/>
      </w:pPr>
      <w:r>
        <w:rPr>
          <w:rFonts w:ascii="Times New Roman"/>
          <w:b w:val="false"/>
          <w:i w:val="false"/>
          <w:color w:val="000000"/>
          <w:sz w:val="28"/>
        </w:rPr>
        <w:t>
      порядок осуществления расчетов рисков на одного клиента;</w:t>
      </w:r>
    </w:p>
    <w:p>
      <w:pPr>
        <w:spacing w:after="0"/>
        <w:ind w:left="0"/>
        <w:jc w:val="both"/>
      </w:pPr>
      <w:r>
        <w:rPr>
          <w:rFonts w:ascii="Times New Roman"/>
          <w:b w:val="false"/>
          <w:i w:val="false"/>
          <w:color w:val="000000"/>
          <w:sz w:val="28"/>
        </w:rPr>
        <w:t>
      процедуры, направленные на ограничение рисков неплатежеспособности;</w:t>
      </w:r>
    </w:p>
    <w:p>
      <w:pPr>
        <w:spacing w:after="0"/>
        <w:ind w:left="0"/>
        <w:jc w:val="both"/>
      </w:pPr>
      <w:r>
        <w:rPr>
          <w:rFonts w:ascii="Times New Roman"/>
          <w:b w:val="false"/>
          <w:i w:val="false"/>
          <w:color w:val="000000"/>
          <w:sz w:val="28"/>
        </w:rPr>
        <w:t>
      4) создание организационно-функциональной структуры управления брокером и (или) дилером;</w:t>
      </w:r>
    </w:p>
    <w:p>
      <w:pPr>
        <w:spacing w:after="0"/>
        <w:ind w:left="0"/>
        <w:jc w:val="both"/>
      </w:pPr>
      <w:r>
        <w:rPr>
          <w:rFonts w:ascii="Times New Roman"/>
          <w:b w:val="false"/>
          <w:i w:val="false"/>
          <w:color w:val="000000"/>
          <w:sz w:val="28"/>
        </w:rPr>
        <w:t>
      5) разработка и утверждение внутренних процедур и документов;</w:t>
      </w:r>
    </w:p>
    <w:p>
      <w:pPr>
        <w:spacing w:after="0"/>
        <w:ind w:left="0"/>
        <w:jc w:val="both"/>
      </w:pPr>
      <w:r>
        <w:rPr>
          <w:rFonts w:ascii="Times New Roman"/>
          <w:b w:val="false"/>
          <w:i w:val="false"/>
          <w:color w:val="000000"/>
          <w:sz w:val="28"/>
        </w:rPr>
        <w:t>
      6) предоставление информации, необходимой для принятия решений, заинтересованным органам и подразделениям брокера и (или) дилера;</w:t>
      </w:r>
    </w:p>
    <w:p>
      <w:pPr>
        <w:spacing w:after="0"/>
        <w:ind w:left="0"/>
        <w:jc w:val="both"/>
      </w:pPr>
      <w:r>
        <w:rPr>
          <w:rFonts w:ascii="Times New Roman"/>
          <w:b w:val="false"/>
          <w:i w:val="false"/>
          <w:color w:val="000000"/>
          <w:sz w:val="28"/>
        </w:rPr>
        <w:t>
      7) мониторинг соблюдения требований, установленных законодательством Республики Казахстан о рынке ценных бумаг и политикой инвестирования собственных активов;</w:t>
      </w:r>
    </w:p>
    <w:p>
      <w:pPr>
        <w:spacing w:after="0"/>
        <w:ind w:left="0"/>
        <w:jc w:val="both"/>
      </w:pPr>
      <w:r>
        <w:rPr>
          <w:rFonts w:ascii="Times New Roman"/>
          <w:b w:val="false"/>
          <w:i w:val="false"/>
          <w:color w:val="000000"/>
          <w:sz w:val="28"/>
        </w:rPr>
        <w:t>
      8) управление существующим и потенциальным конфликтом интересов в брокере и (или) дилере.</w:t>
      </w:r>
    </w:p>
    <w:bookmarkStart w:name="z54" w:id="69"/>
    <w:p>
      <w:pPr>
        <w:spacing w:after="0"/>
        <w:ind w:left="0"/>
        <w:jc w:val="both"/>
      </w:pPr>
      <w:r>
        <w:rPr>
          <w:rFonts w:ascii="Times New Roman"/>
          <w:b w:val="false"/>
          <w:i w:val="false"/>
          <w:color w:val="000000"/>
          <w:sz w:val="28"/>
        </w:rPr>
        <w:t>
      12. Система управления рисками Управляющего охватывает следующие направления его деятельности:</w:t>
      </w:r>
    </w:p>
    <w:bookmarkEnd w:id="69"/>
    <w:p>
      <w:pPr>
        <w:spacing w:after="0"/>
        <w:ind w:left="0"/>
        <w:jc w:val="both"/>
      </w:pPr>
      <w:r>
        <w:rPr>
          <w:rFonts w:ascii="Times New Roman"/>
          <w:b w:val="false"/>
          <w:i w:val="false"/>
          <w:color w:val="000000"/>
          <w:sz w:val="28"/>
        </w:rPr>
        <w:t>
      1) проведение регулярного анализа инвестиционных возможностей с учетом прогнозных значений показателей финансового рынка, включая рынок ценных бумаг, и подготовка на основании данного анализа рекомендаций для принятия инвестиционных решений;</w:t>
      </w:r>
    </w:p>
    <w:p>
      <w:pPr>
        <w:spacing w:after="0"/>
        <w:ind w:left="0"/>
        <w:jc w:val="both"/>
      </w:pPr>
      <w:r>
        <w:rPr>
          <w:rFonts w:ascii="Times New Roman"/>
          <w:b w:val="false"/>
          <w:i w:val="false"/>
          <w:color w:val="000000"/>
          <w:sz w:val="28"/>
        </w:rPr>
        <w:t>
      2) разработка и утверждение инвестиционных деклараций по активам клиентов и инвестиционных фондов, принятых в управление, политики управления активами клиентов физических и юридических лиц, политики инвестирования собственных активов;</w:t>
      </w:r>
    </w:p>
    <w:p>
      <w:pPr>
        <w:spacing w:after="0"/>
        <w:ind w:left="0"/>
        <w:jc w:val="both"/>
      </w:pPr>
      <w:r>
        <w:rPr>
          <w:rFonts w:ascii="Times New Roman"/>
          <w:b w:val="false"/>
          <w:i w:val="false"/>
          <w:color w:val="000000"/>
          <w:sz w:val="28"/>
        </w:rPr>
        <w:t>
      3) установление лимитов инвестирования, лимитов "stop-loss", "take-profit", максимального допустимого размера убытков и гэп-позиции;</w:t>
      </w:r>
    </w:p>
    <w:p>
      <w:pPr>
        <w:spacing w:after="0"/>
        <w:ind w:left="0"/>
        <w:jc w:val="both"/>
      </w:pPr>
      <w:r>
        <w:rPr>
          <w:rFonts w:ascii="Times New Roman"/>
          <w:b w:val="false"/>
          <w:i w:val="false"/>
          <w:color w:val="000000"/>
          <w:sz w:val="28"/>
        </w:rPr>
        <w:t>
      4) принятие инвестиционных решений в отношении активов клиентов, принятых в управление;</w:t>
      </w:r>
    </w:p>
    <w:p>
      <w:pPr>
        <w:spacing w:after="0"/>
        <w:ind w:left="0"/>
        <w:jc w:val="both"/>
      </w:pPr>
      <w:r>
        <w:rPr>
          <w:rFonts w:ascii="Times New Roman"/>
          <w:b w:val="false"/>
          <w:i w:val="false"/>
          <w:color w:val="000000"/>
          <w:sz w:val="28"/>
        </w:rPr>
        <w:t>
      5) принятие инвестиционных решений в отношении собственных активов;</w:t>
      </w:r>
    </w:p>
    <w:p>
      <w:pPr>
        <w:spacing w:after="0"/>
        <w:ind w:left="0"/>
        <w:jc w:val="both"/>
      </w:pPr>
      <w:r>
        <w:rPr>
          <w:rFonts w:ascii="Times New Roman"/>
          <w:b w:val="false"/>
          <w:i w:val="false"/>
          <w:color w:val="000000"/>
          <w:sz w:val="28"/>
        </w:rPr>
        <w:t>
      6) мониторинг соблюдения в процессе инвестирования требований, установленных законодательством Республики Казахстан о рынке ценных бумаг и инвестиционных фондах, инвестиционной декларацией по активам клиентов и инвестиционных фондов, принятых в управление, политикой по управлению активами клиентов физических и юридических лиц, и политикой инвестирования собственных активов;</w:t>
      </w:r>
    </w:p>
    <w:p>
      <w:pPr>
        <w:spacing w:after="0"/>
        <w:ind w:left="0"/>
        <w:jc w:val="both"/>
      </w:pPr>
      <w:r>
        <w:rPr>
          <w:rFonts w:ascii="Times New Roman"/>
          <w:b w:val="false"/>
          <w:i w:val="false"/>
          <w:color w:val="000000"/>
          <w:sz w:val="28"/>
        </w:rPr>
        <w:t>
      7) определение порядка организации работы с клиентами, включающего:</w:t>
      </w:r>
    </w:p>
    <w:p>
      <w:pPr>
        <w:spacing w:after="0"/>
        <w:ind w:left="0"/>
        <w:jc w:val="both"/>
      </w:pPr>
      <w:r>
        <w:rPr>
          <w:rFonts w:ascii="Times New Roman"/>
          <w:b w:val="false"/>
          <w:i w:val="false"/>
          <w:color w:val="000000"/>
          <w:sz w:val="28"/>
        </w:rPr>
        <w:t>
      процедуры, обеспечивающие рассмотрение по существу в установленный срок жалоб и обращений клиентов;</w:t>
      </w:r>
    </w:p>
    <w:p>
      <w:pPr>
        <w:spacing w:after="0"/>
        <w:ind w:left="0"/>
        <w:jc w:val="both"/>
      </w:pPr>
      <w:r>
        <w:rPr>
          <w:rFonts w:ascii="Times New Roman"/>
          <w:b w:val="false"/>
          <w:i w:val="false"/>
          <w:color w:val="000000"/>
          <w:sz w:val="28"/>
        </w:rPr>
        <w:t>
      процедуры, обеспечивающие соответствие учета активов клиентов требованиям законодательства Республики Казахстан о рынке ценных бумаг и бухгалтерском учете;</w:t>
      </w:r>
    </w:p>
    <w:p>
      <w:pPr>
        <w:spacing w:after="0"/>
        <w:ind w:left="0"/>
        <w:jc w:val="both"/>
      </w:pPr>
      <w:r>
        <w:rPr>
          <w:rFonts w:ascii="Times New Roman"/>
          <w:b w:val="false"/>
          <w:i w:val="false"/>
          <w:color w:val="000000"/>
          <w:sz w:val="28"/>
        </w:rPr>
        <w:t>
      порядок осуществления проверки правильности порядка определения и начисления вознаграждения;</w:t>
      </w:r>
    </w:p>
    <w:p>
      <w:pPr>
        <w:spacing w:after="0"/>
        <w:ind w:left="0"/>
        <w:jc w:val="both"/>
      </w:pPr>
      <w:r>
        <w:rPr>
          <w:rFonts w:ascii="Times New Roman"/>
          <w:b w:val="false"/>
          <w:i w:val="false"/>
          <w:color w:val="000000"/>
          <w:sz w:val="28"/>
        </w:rPr>
        <w:t>
      процедуры, направленные на предотвращение случаев неправомерного использования активов клиентов;</w:t>
      </w:r>
    </w:p>
    <w:p>
      <w:pPr>
        <w:spacing w:after="0"/>
        <w:ind w:left="0"/>
        <w:jc w:val="both"/>
      </w:pPr>
      <w:r>
        <w:rPr>
          <w:rFonts w:ascii="Times New Roman"/>
          <w:b w:val="false"/>
          <w:i w:val="false"/>
          <w:color w:val="000000"/>
          <w:sz w:val="28"/>
        </w:rPr>
        <w:t>
      8) осуществление стресс-тестинга подверженности инвестиционного портфеля, сформированного за счет активов клиентов, принятых в управление, возможным убыткам;</w:t>
      </w:r>
    </w:p>
    <w:p>
      <w:pPr>
        <w:spacing w:after="0"/>
        <w:ind w:left="0"/>
        <w:jc w:val="both"/>
      </w:pPr>
      <w:r>
        <w:rPr>
          <w:rFonts w:ascii="Times New Roman"/>
          <w:b w:val="false"/>
          <w:i w:val="false"/>
          <w:color w:val="000000"/>
          <w:sz w:val="28"/>
        </w:rPr>
        <w:t>
      9) осуществление стресс-тестинга подверженности инвестиционного портфеля, сформированного за счет собственных активов, возможным убыткам;</w:t>
      </w:r>
    </w:p>
    <w:p>
      <w:pPr>
        <w:spacing w:after="0"/>
        <w:ind w:left="0"/>
        <w:jc w:val="both"/>
      </w:pPr>
      <w:r>
        <w:rPr>
          <w:rFonts w:ascii="Times New Roman"/>
          <w:b w:val="false"/>
          <w:i w:val="false"/>
          <w:color w:val="000000"/>
          <w:sz w:val="28"/>
        </w:rPr>
        <w:t>
      10) создание организационно-функциональной структуры управления Управляющим;</w:t>
      </w:r>
    </w:p>
    <w:p>
      <w:pPr>
        <w:spacing w:after="0"/>
        <w:ind w:left="0"/>
        <w:jc w:val="both"/>
      </w:pPr>
      <w:r>
        <w:rPr>
          <w:rFonts w:ascii="Times New Roman"/>
          <w:b w:val="false"/>
          <w:i w:val="false"/>
          <w:color w:val="000000"/>
          <w:sz w:val="28"/>
        </w:rPr>
        <w:t>
      11) разработка и утверждение внутренних процедур и документов;</w:t>
      </w:r>
    </w:p>
    <w:p>
      <w:pPr>
        <w:spacing w:after="0"/>
        <w:ind w:left="0"/>
        <w:jc w:val="both"/>
      </w:pPr>
      <w:r>
        <w:rPr>
          <w:rFonts w:ascii="Times New Roman"/>
          <w:b w:val="false"/>
          <w:i w:val="false"/>
          <w:color w:val="000000"/>
          <w:sz w:val="28"/>
        </w:rPr>
        <w:t>
      12) предоставление информации, необходимой для принятия решений, заинтересованным органам и подразделениям Управляющего;</w:t>
      </w:r>
    </w:p>
    <w:p>
      <w:pPr>
        <w:spacing w:after="0"/>
        <w:ind w:left="0"/>
        <w:jc w:val="both"/>
      </w:pPr>
      <w:r>
        <w:rPr>
          <w:rFonts w:ascii="Times New Roman"/>
          <w:b w:val="false"/>
          <w:i w:val="false"/>
          <w:color w:val="000000"/>
          <w:sz w:val="28"/>
        </w:rPr>
        <w:t>
      13) управление существующим и потенциальным конфликтом интересов в Управляющем.</w:t>
      </w:r>
    </w:p>
    <w:bookmarkStart w:name="z55" w:id="70"/>
    <w:p>
      <w:pPr>
        <w:spacing w:after="0"/>
        <w:ind w:left="0"/>
        <w:jc w:val="both"/>
      </w:pPr>
      <w:r>
        <w:rPr>
          <w:rFonts w:ascii="Times New Roman"/>
          <w:b w:val="false"/>
          <w:i w:val="false"/>
          <w:color w:val="000000"/>
          <w:sz w:val="28"/>
        </w:rPr>
        <w:t xml:space="preserve">
      13. Система управления рисками Управляющего с правом привлечения добровольных накопительных пенсионных взносов, помимо направлений, перечисленных в </w:t>
      </w:r>
      <w:r>
        <w:rPr>
          <w:rFonts w:ascii="Times New Roman"/>
          <w:b w:val="false"/>
          <w:i w:val="false"/>
          <w:color w:val="000000"/>
          <w:sz w:val="28"/>
        </w:rPr>
        <w:t>пункте 12</w:t>
      </w:r>
      <w:r>
        <w:rPr>
          <w:rFonts w:ascii="Times New Roman"/>
          <w:b w:val="false"/>
          <w:i w:val="false"/>
          <w:color w:val="000000"/>
          <w:sz w:val="28"/>
        </w:rPr>
        <w:t xml:space="preserve"> Правил, также охватывает следующие направления его деятельности: </w:t>
      </w:r>
    </w:p>
    <w:bookmarkEnd w:id="70"/>
    <w:p>
      <w:pPr>
        <w:spacing w:after="0"/>
        <w:ind w:left="0"/>
        <w:jc w:val="both"/>
      </w:pPr>
      <w:r>
        <w:rPr>
          <w:rFonts w:ascii="Times New Roman"/>
          <w:b w:val="false"/>
          <w:i w:val="false"/>
          <w:color w:val="000000"/>
          <w:sz w:val="28"/>
        </w:rPr>
        <w:t>
      1) разработка и утверждение инвестиционной декларации по пенсионным активам;</w:t>
      </w:r>
    </w:p>
    <w:p>
      <w:pPr>
        <w:spacing w:after="0"/>
        <w:ind w:left="0"/>
        <w:jc w:val="both"/>
      </w:pPr>
      <w:r>
        <w:rPr>
          <w:rFonts w:ascii="Times New Roman"/>
          <w:b w:val="false"/>
          <w:i w:val="false"/>
          <w:color w:val="000000"/>
          <w:sz w:val="28"/>
        </w:rPr>
        <w:t>
      2) мониторинг соблюдения требований, установленных законодательством Республики Казахстан о пенсионном обеспечении и инвестиционной декларацией по пенсионным активам.</w:t>
      </w:r>
    </w:p>
    <w:bookmarkStart w:name="z56" w:id="71"/>
    <w:p>
      <w:pPr>
        <w:spacing w:after="0"/>
        <w:ind w:left="0"/>
        <w:jc w:val="both"/>
      </w:pPr>
      <w:r>
        <w:rPr>
          <w:rFonts w:ascii="Times New Roman"/>
          <w:b w:val="false"/>
          <w:i w:val="false"/>
          <w:color w:val="000000"/>
          <w:sz w:val="28"/>
        </w:rPr>
        <w:t xml:space="preserve">
      14. Система управления рисками брокера и (или) дилера, являющегося Управляющим, охватывает направления его деятельности, перечисленные в </w:t>
      </w:r>
      <w:r>
        <w:rPr>
          <w:rFonts w:ascii="Times New Roman"/>
          <w:b w:val="false"/>
          <w:i w:val="false"/>
          <w:color w:val="000000"/>
          <w:sz w:val="28"/>
        </w:rPr>
        <w:t>пунктах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Правил.</w:t>
      </w:r>
    </w:p>
    <w:bookmarkEnd w:id="71"/>
    <w:bookmarkStart w:name="z57" w:id="72"/>
    <w:p>
      <w:pPr>
        <w:spacing w:after="0"/>
        <w:ind w:left="0"/>
        <w:jc w:val="left"/>
      </w:pPr>
      <w:r>
        <w:rPr>
          <w:rFonts w:ascii="Times New Roman"/>
          <w:b/>
          <w:i w:val="false"/>
          <w:color w:val="000000"/>
        </w:rPr>
        <w:t xml:space="preserve"> Глава 3. Требования к внутренним документам брокера и (или) дилера и Управляющего</w:t>
      </w:r>
    </w:p>
    <w:bookmarkEnd w:id="72"/>
    <w:p>
      <w:pPr>
        <w:spacing w:after="0"/>
        <w:ind w:left="0"/>
        <w:jc w:val="both"/>
      </w:pPr>
      <w:r>
        <w:rPr>
          <w:rFonts w:ascii="Times New Roman"/>
          <w:b w:val="false"/>
          <w:i w:val="false"/>
          <w:color w:val="ff0000"/>
          <w:sz w:val="28"/>
        </w:rPr>
        <w:t xml:space="preserve">
      Сноска. Заголовок главы 3 -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 w:id="73"/>
    <w:p>
      <w:pPr>
        <w:spacing w:after="0"/>
        <w:ind w:left="0"/>
        <w:jc w:val="both"/>
      </w:pPr>
      <w:r>
        <w:rPr>
          <w:rFonts w:ascii="Times New Roman"/>
          <w:b w:val="false"/>
          <w:i w:val="false"/>
          <w:color w:val="000000"/>
          <w:sz w:val="28"/>
        </w:rPr>
        <w:t>
      15. Внутренние документы брокера и (или) дилера, Управляющего включают:</w:t>
      </w:r>
    </w:p>
    <w:bookmarkEnd w:id="73"/>
    <w:bookmarkStart w:name="z441" w:id="74"/>
    <w:p>
      <w:pPr>
        <w:spacing w:after="0"/>
        <w:ind w:left="0"/>
        <w:jc w:val="both"/>
      </w:pPr>
      <w:r>
        <w:rPr>
          <w:rFonts w:ascii="Times New Roman"/>
          <w:b w:val="false"/>
          <w:i w:val="false"/>
          <w:color w:val="000000"/>
          <w:sz w:val="28"/>
        </w:rPr>
        <w:t>
      1) положение об организационно-функциональной структуре управления брокера и (или) дилера, Управляющего;</w:t>
      </w:r>
    </w:p>
    <w:bookmarkEnd w:id="74"/>
    <w:bookmarkStart w:name="z442" w:id="75"/>
    <w:p>
      <w:pPr>
        <w:spacing w:after="0"/>
        <w:ind w:left="0"/>
        <w:jc w:val="both"/>
      </w:pPr>
      <w:r>
        <w:rPr>
          <w:rFonts w:ascii="Times New Roman"/>
          <w:b w:val="false"/>
          <w:i w:val="false"/>
          <w:color w:val="000000"/>
          <w:sz w:val="28"/>
        </w:rPr>
        <w:t>
      2) порядок стратегического планирования на долгосрочный период и составления годового бюджета (финансового плана) на краткосрочный и среднесрочный периоды;</w:t>
      </w:r>
    </w:p>
    <w:bookmarkEnd w:id="75"/>
    <w:bookmarkStart w:name="z443" w:id="76"/>
    <w:p>
      <w:pPr>
        <w:spacing w:after="0"/>
        <w:ind w:left="0"/>
        <w:jc w:val="both"/>
      </w:pPr>
      <w:r>
        <w:rPr>
          <w:rFonts w:ascii="Times New Roman"/>
          <w:b w:val="false"/>
          <w:i w:val="false"/>
          <w:color w:val="000000"/>
          <w:sz w:val="28"/>
        </w:rPr>
        <w:t>
      3) корпоративную стратегию брокера и (или) дилера, Управляющего;</w:t>
      </w:r>
    </w:p>
    <w:bookmarkEnd w:id="76"/>
    <w:bookmarkStart w:name="z444" w:id="77"/>
    <w:p>
      <w:pPr>
        <w:spacing w:after="0"/>
        <w:ind w:left="0"/>
        <w:jc w:val="both"/>
      </w:pPr>
      <w:r>
        <w:rPr>
          <w:rFonts w:ascii="Times New Roman"/>
          <w:b w:val="false"/>
          <w:i w:val="false"/>
          <w:color w:val="000000"/>
          <w:sz w:val="28"/>
        </w:rPr>
        <w:t>
      4) учетную политику брокера и (или) дилера, Управляющего;</w:t>
      </w:r>
    </w:p>
    <w:bookmarkEnd w:id="77"/>
    <w:bookmarkStart w:name="z445" w:id="78"/>
    <w:p>
      <w:pPr>
        <w:spacing w:after="0"/>
        <w:ind w:left="0"/>
        <w:jc w:val="both"/>
      </w:pPr>
      <w:r>
        <w:rPr>
          <w:rFonts w:ascii="Times New Roman"/>
          <w:b w:val="false"/>
          <w:i w:val="false"/>
          <w:color w:val="000000"/>
          <w:sz w:val="28"/>
        </w:rPr>
        <w:t>
      5) политику инвестирования активов клиентов Управляющего;</w:t>
      </w:r>
    </w:p>
    <w:bookmarkEnd w:id="78"/>
    <w:bookmarkStart w:name="z446" w:id="79"/>
    <w:p>
      <w:pPr>
        <w:spacing w:after="0"/>
        <w:ind w:left="0"/>
        <w:jc w:val="both"/>
      </w:pPr>
      <w:r>
        <w:rPr>
          <w:rFonts w:ascii="Times New Roman"/>
          <w:b w:val="false"/>
          <w:i w:val="false"/>
          <w:color w:val="000000"/>
          <w:sz w:val="28"/>
        </w:rPr>
        <w:t>
      6) политику инвестирования собственных активов брокера и (или) дилера, Управляющего;</w:t>
      </w:r>
    </w:p>
    <w:bookmarkEnd w:id="79"/>
    <w:bookmarkStart w:name="z447" w:id="80"/>
    <w:p>
      <w:pPr>
        <w:spacing w:after="0"/>
        <w:ind w:left="0"/>
        <w:jc w:val="both"/>
      </w:pPr>
      <w:r>
        <w:rPr>
          <w:rFonts w:ascii="Times New Roman"/>
          <w:b w:val="false"/>
          <w:i w:val="false"/>
          <w:color w:val="000000"/>
          <w:sz w:val="28"/>
        </w:rPr>
        <w:t>
      7) политику брокера и (или) дилера, Управляющего по управлению рисками;</w:t>
      </w:r>
    </w:p>
    <w:bookmarkEnd w:id="80"/>
    <w:bookmarkStart w:name="z448" w:id="81"/>
    <w:p>
      <w:pPr>
        <w:spacing w:after="0"/>
        <w:ind w:left="0"/>
        <w:jc w:val="both"/>
      </w:pPr>
      <w:r>
        <w:rPr>
          <w:rFonts w:ascii="Times New Roman"/>
          <w:b w:val="false"/>
          <w:i w:val="false"/>
          <w:color w:val="000000"/>
          <w:sz w:val="28"/>
        </w:rPr>
        <w:t>
      8) процедуры осуществления анализа и мониторинга контрпартнеров и клиентов;</w:t>
      </w:r>
    </w:p>
    <w:bookmarkEnd w:id="81"/>
    <w:bookmarkStart w:name="z449" w:id="82"/>
    <w:p>
      <w:pPr>
        <w:spacing w:after="0"/>
        <w:ind w:left="0"/>
        <w:jc w:val="both"/>
      </w:pPr>
      <w:r>
        <w:rPr>
          <w:rFonts w:ascii="Times New Roman"/>
          <w:b w:val="false"/>
          <w:i w:val="false"/>
          <w:color w:val="000000"/>
          <w:sz w:val="28"/>
        </w:rPr>
        <w:t>
      9) порядок оценки финансового состояния и ранжирования клиентов;</w:t>
      </w:r>
    </w:p>
    <w:bookmarkEnd w:id="82"/>
    <w:bookmarkStart w:name="z450" w:id="83"/>
    <w:p>
      <w:pPr>
        <w:spacing w:after="0"/>
        <w:ind w:left="0"/>
        <w:jc w:val="both"/>
      </w:pPr>
      <w:r>
        <w:rPr>
          <w:rFonts w:ascii="Times New Roman"/>
          <w:b w:val="false"/>
          <w:i w:val="false"/>
          <w:color w:val="000000"/>
          <w:sz w:val="28"/>
        </w:rPr>
        <w:t>
      10) порядок и условия ограничения рисков неплатежеспособности;</w:t>
      </w:r>
    </w:p>
    <w:bookmarkEnd w:id="83"/>
    <w:bookmarkStart w:name="z451" w:id="84"/>
    <w:p>
      <w:pPr>
        <w:spacing w:after="0"/>
        <w:ind w:left="0"/>
        <w:jc w:val="both"/>
      </w:pPr>
      <w:r>
        <w:rPr>
          <w:rFonts w:ascii="Times New Roman"/>
          <w:b w:val="false"/>
          <w:i w:val="false"/>
          <w:color w:val="000000"/>
          <w:sz w:val="28"/>
        </w:rPr>
        <w:t>
      11) порядок совершения маржинальных сделок (в случае, если брокером и (или) дилером, Управляющим принято решение о предоставлении услуг по совершению маржинальных сделок);</w:t>
      </w:r>
    </w:p>
    <w:bookmarkEnd w:id="84"/>
    <w:bookmarkStart w:name="z452" w:id="85"/>
    <w:p>
      <w:pPr>
        <w:spacing w:after="0"/>
        <w:ind w:left="0"/>
        <w:jc w:val="both"/>
      </w:pPr>
      <w:r>
        <w:rPr>
          <w:rFonts w:ascii="Times New Roman"/>
          <w:b w:val="false"/>
          <w:i w:val="false"/>
          <w:color w:val="000000"/>
          <w:sz w:val="28"/>
        </w:rPr>
        <w:t>
      12) правила обеспечения информационной безопасности;</w:t>
      </w:r>
    </w:p>
    <w:bookmarkEnd w:id="85"/>
    <w:bookmarkStart w:name="z453" w:id="86"/>
    <w:p>
      <w:pPr>
        <w:spacing w:after="0"/>
        <w:ind w:left="0"/>
        <w:jc w:val="both"/>
      </w:pPr>
      <w:r>
        <w:rPr>
          <w:rFonts w:ascii="Times New Roman"/>
          <w:b w:val="false"/>
          <w:i w:val="false"/>
          <w:color w:val="000000"/>
          <w:sz w:val="28"/>
        </w:rPr>
        <w:t>
      13) правила расчета и начисления вознаграждения за оказание финансовых услуг;</w:t>
      </w:r>
    </w:p>
    <w:bookmarkEnd w:id="86"/>
    <w:bookmarkStart w:name="z454" w:id="87"/>
    <w:p>
      <w:pPr>
        <w:spacing w:after="0"/>
        <w:ind w:left="0"/>
        <w:jc w:val="both"/>
      </w:pPr>
      <w:r>
        <w:rPr>
          <w:rFonts w:ascii="Times New Roman"/>
          <w:b w:val="false"/>
          <w:i w:val="false"/>
          <w:color w:val="000000"/>
          <w:sz w:val="28"/>
        </w:rPr>
        <w:t>
      14) процедуры осуществления внутреннего аудита и внутреннего контроля;15) политику управления существующим и потенциальным конфликтом интересов;</w:t>
      </w:r>
    </w:p>
    <w:bookmarkEnd w:id="87"/>
    <w:bookmarkStart w:name="z455" w:id="88"/>
    <w:p>
      <w:pPr>
        <w:spacing w:after="0"/>
        <w:ind w:left="0"/>
        <w:jc w:val="both"/>
      </w:pPr>
      <w:r>
        <w:rPr>
          <w:rFonts w:ascii="Times New Roman"/>
          <w:b w:val="false"/>
          <w:i w:val="false"/>
          <w:color w:val="000000"/>
          <w:sz w:val="28"/>
        </w:rPr>
        <w:t>
      16) правила ведения журналов учета;</w:t>
      </w:r>
    </w:p>
    <w:bookmarkEnd w:id="88"/>
    <w:bookmarkStart w:name="z456" w:id="89"/>
    <w:p>
      <w:pPr>
        <w:spacing w:after="0"/>
        <w:ind w:left="0"/>
        <w:jc w:val="both"/>
      </w:pPr>
      <w:r>
        <w:rPr>
          <w:rFonts w:ascii="Times New Roman"/>
          <w:b w:val="false"/>
          <w:i w:val="false"/>
          <w:color w:val="000000"/>
          <w:sz w:val="28"/>
        </w:rPr>
        <w:t>
      17) инструкцию по технике безопасности;</w:t>
      </w:r>
    </w:p>
    <w:bookmarkEnd w:id="89"/>
    <w:bookmarkStart w:name="z457" w:id="90"/>
    <w:p>
      <w:pPr>
        <w:spacing w:after="0"/>
        <w:ind w:left="0"/>
        <w:jc w:val="both"/>
      </w:pPr>
      <w:r>
        <w:rPr>
          <w:rFonts w:ascii="Times New Roman"/>
          <w:b w:val="false"/>
          <w:i w:val="false"/>
          <w:color w:val="000000"/>
          <w:sz w:val="28"/>
        </w:rPr>
        <w:t>
      18) иные документы, установленные органом управления (наблюдательным советом) брокера и (или) дилера, Управляющего.Подпункты 8), 9), 10), 11) настоящего пункта распространяются на Управляющего, являющегося брокером и (или) дилером.</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91"/>
    <w:p>
      <w:pPr>
        <w:spacing w:after="0"/>
        <w:ind w:left="0"/>
        <w:jc w:val="both"/>
      </w:pPr>
      <w:r>
        <w:rPr>
          <w:rFonts w:ascii="Times New Roman"/>
          <w:b w:val="false"/>
          <w:i w:val="false"/>
          <w:color w:val="000000"/>
          <w:sz w:val="28"/>
        </w:rPr>
        <w:t xml:space="preserve">
      16. Внутренние документы брокера и (или) дилера, Управляющего, указанные в </w:t>
      </w:r>
      <w:r>
        <w:rPr>
          <w:rFonts w:ascii="Times New Roman"/>
          <w:b w:val="false"/>
          <w:i w:val="false"/>
          <w:color w:val="000000"/>
          <w:sz w:val="28"/>
        </w:rPr>
        <w:t>пункте 15</w:t>
      </w:r>
      <w:r>
        <w:rPr>
          <w:rFonts w:ascii="Times New Roman"/>
          <w:b w:val="false"/>
          <w:i w:val="false"/>
          <w:color w:val="000000"/>
          <w:sz w:val="28"/>
        </w:rPr>
        <w:t xml:space="preserve"> Правил, составляются в качестве отдельного документа либо включаются в состав других внутренних документов брокера и (или) дилера, Управляющего, которые после согласования с подразделением брокера и (или) дилера, Управляющего, осуществляющим управление рисками брокера и (или) дилера, Управляющего, утверждаются органом управления (наблюдательным советом) брокера и (или) дилера, Управляющего, за исключением внутренних документов, предусмотренных подпунктами 1) и 16) </w:t>
      </w:r>
      <w:r>
        <w:rPr>
          <w:rFonts w:ascii="Times New Roman"/>
          <w:b w:val="false"/>
          <w:i w:val="false"/>
          <w:color w:val="000000"/>
          <w:sz w:val="28"/>
        </w:rPr>
        <w:t>пункта 15</w:t>
      </w:r>
      <w:r>
        <w:rPr>
          <w:rFonts w:ascii="Times New Roman"/>
          <w:b w:val="false"/>
          <w:i w:val="false"/>
          <w:color w:val="000000"/>
          <w:sz w:val="28"/>
        </w:rPr>
        <w:t xml:space="preserve"> Правил, которые утверждаются исполнительным органом брокера и (или) дилера, Управляющего.</w:t>
      </w:r>
    </w:p>
    <w:bookmarkEnd w:id="91"/>
    <w:bookmarkStart w:name="z60" w:id="92"/>
    <w:p>
      <w:pPr>
        <w:spacing w:after="0"/>
        <w:ind w:left="0"/>
        <w:jc w:val="both"/>
      </w:pPr>
      <w:r>
        <w:rPr>
          <w:rFonts w:ascii="Times New Roman"/>
          <w:b w:val="false"/>
          <w:i w:val="false"/>
          <w:color w:val="000000"/>
          <w:sz w:val="28"/>
        </w:rPr>
        <w:t>
      17. Положение об организационно-функциональной структуре управления брокера и (или) дилера, Управляющего определяет:</w:t>
      </w:r>
    </w:p>
    <w:bookmarkEnd w:id="92"/>
    <w:p>
      <w:pPr>
        <w:spacing w:after="0"/>
        <w:ind w:left="0"/>
        <w:jc w:val="both"/>
      </w:pPr>
      <w:r>
        <w:rPr>
          <w:rFonts w:ascii="Times New Roman"/>
          <w:b w:val="false"/>
          <w:i w:val="false"/>
          <w:color w:val="000000"/>
          <w:sz w:val="28"/>
        </w:rPr>
        <w:t>
      1) полномочия и обязанности подразделения брокера и (или) дилера, Управляющего или лица, осуществляющего управление рисками, отвечающего за независимую оценку и анализ основных рисков, связанных с проводимыми брокером и (или) дилером, Управляющим операциями;</w:t>
      </w:r>
    </w:p>
    <w:p>
      <w:pPr>
        <w:spacing w:after="0"/>
        <w:ind w:left="0"/>
        <w:jc w:val="both"/>
      </w:pPr>
      <w:r>
        <w:rPr>
          <w:rFonts w:ascii="Times New Roman"/>
          <w:b w:val="false"/>
          <w:i w:val="false"/>
          <w:color w:val="000000"/>
          <w:sz w:val="28"/>
        </w:rPr>
        <w:t>
      2) структуру органов, соответствующую их функциональным обязанностям;</w:t>
      </w:r>
    </w:p>
    <w:p>
      <w:pPr>
        <w:spacing w:after="0"/>
        <w:ind w:left="0"/>
        <w:jc w:val="both"/>
      </w:pPr>
      <w:r>
        <w:rPr>
          <w:rFonts w:ascii="Times New Roman"/>
          <w:b w:val="false"/>
          <w:i w:val="false"/>
          <w:color w:val="000000"/>
          <w:sz w:val="28"/>
        </w:rPr>
        <w:t>
      3) описание порядка взаимодействия между органами, подразделениями, филиалами и представительствами, работниками;</w:t>
      </w:r>
    </w:p>
    <w:p>
      <w:pPr>
        <w:spacing w:after="0"/>
        <w:ind w:left="0"/>
        <w:jc w:val="both"/>
      </w:pPr>
      <w:r>
        <w:rPr>
          <w:rFonts w:ascii="Times New Roman"/>
          <w:b w:val="false"/>
          <w:i w:val="false"/>
          <w:color w:val="000000"/>
          <w:sz w:val="28"/>
        </w:rPr>
        <w:t>
      4) положения об органах, подразделениях, филиалах и представительствах, включающие описание их функций, обязанностей и полномочий, а также формы и сроки представления отчетности и информации высшему органу и органу управления (наблюдательному совету) брокера и (или) дилера, Управляющего. Перечень информации, представляемой высшему органу и органу управления (наблюдательному совету) брокера и (или) дилера, Управляющего, составляется с учетом необходимости предоставления органам брокера и (или) дилера, Управляющего достаточного для надлежащего исполнения их функциональных обязанностей объема информации;</w:t>
      </w:r>
    </w:p>
    <w:p>
      <w:pPr>
        <w:spacing w:after="0"/>
        <w:ind w:left="0"/>
        <w:jc w:val="both"/>
      </w:pPr>
      <w:r>
        <w:rPr>
          <w:rFonts w:ascii="Times New Roman"/>
          <w:b w:val="false"/>
          <w:i w:val="false"/>
          <w:color w:val="000000"/>
          <w:sz w:val="28"/>
        </w:rPr>
        <w:t>
      5) должностные инструкции работников;</w:t>
      </w:r>
    </w:p>
    <w:p>
      <w:pPr>
        <w:spacing w:after="0"/>
        <w:ind w:left="0"/>
        <w:jc w:val="both"/>
      </w:pPr>
      <w:r>
        <w:rPr>
          <w:rFonts w:ascii="Times New Roman"/>
          <w:b w:val="false"/>
          <w:i w:val="false"/>
          <w:color w:val="000000"/>
          <w:sz w:val="28"/>
        </w:rPr>
        <w:t>
      6) наличие в организационной структуре брокера и (или) дилера, Управляющего, обладающих двумя и более лицензиями на осуществление деятельности на финансовом рынке, отдельных подразделений по каждому виду деятельности и недопущение возложения на работников одного из подразделений исполнения функций и обязанностей работников другого подразделения;</w:t>
      </w:r>
    </w:p>
    <w:p>
      <w:pPr>
        <w:spacing w:after="0"/>
        <w:ind w:left="0"/>
        <w:jc w:val="both"/>
      </w:pPr>
      <w:r>
        <w:rPr>
          <w:rFonts w:ascii="Times New Roman"/>
          <w:b w:val="false"/>
          <w:i w:val="false"/>
          <w:color w:val="000000"/>
          <w:sz w:val="28"/>
        </w:rPr>
        <w:t>
      7) недопущение возложения на работников подразделения, осуществляющего управление рисками, и службы внутреннего аудита функций других подразделений брокера и (или) дилера, Управляющего;</w:t>
      </w:r>
    </w:p>
    <w:p>
      <w:pPr>
        <w:spacing w:after="0"/>
        <w:ind w:left="0"/>
        <w:jc w:val="both"/>
      </w:pPr>
      <w:r>
        <w:rPr>
          <w:rFonts w:ascii="Times New Roman"/>
          <w:b w:val="false"/>
          <w:i w:val="false"/>
          <w:color w:val="000000"/>
          <w:sz w:val="28"/>
        </w:rPr>
        <w:t>
      8) порядок оценки эффективности деятельности подразделений и работников в течение отчетного периода, в том числе применение мер за невыполнение (некачественное или несвоевременное выполнение) возложенных на них функций и задач.</w:t>
      </w:r>
    </w:p>
    <w:bookmarkStart w:name="z61" w:id="93"/>
    <w:p>
      <w:pPr>
        <w:spacing w:after="0"/>
        <w:ind w:left="0"/>
        <w:jc w:val="both"/>
      </w:pPr>
      <w:r>
        <w:rPr>
          <w:rFonts w:ascii="Times New Roman"/>
          <w:b w:val="false"/>
          <w:i w:val="false"/>
          <w:color w:val="000000"/>
          <w:sz w:val="28"/>
        </w:rPr>
        <w:t>
      18. Порядок стратегического планирования на долгосрочный период и составления годового бюджета (финансового плана) на краткосрочный и среднесрочный периоды, а также корпоративная стратегия брокера и (или) дилера, Управляющего составляется и пересматривается с целью учета объективных макро- и микроэкономических факторов, влияющих на деятельность брокера и (или) дилера, Управляющего.</w:t>
      </w:r>
    </w:p>
    <w:bookmarkEnd w:id="93"/>
    <w:p>
      <w:pPr>
        <w:spacing w:after="0"/>
        <w:ind w:left="0"/>
        <w:jc w:val="both"/>
      </w:pPr>
      <w:r>
        <w:rPr>
          <w:rFonts w:ascii="Times New Roman"/>
          <w:b w:val="false"/>
          <w:i w:val="false"/>
          <w:color w:val="000000"/>
          <w:sz w:val="28"/>
        </w:rPr>
        <w:t>
      Долгосрочная стратегия брокера и (или) дилера, Управляющего составляется и постоянно совершенствуется с целью исключения факторов, ранее негативно отразившихся на деятельности брокера и (или) дилера, Управляющего.</w:t>
      </w:r>
    </w:p>
    <w:p>
      <w:pPr>
        <w:spacing w:after="0"/>
        <w:ind w:left="0"/>
        <w:jc w:val="both"/>
      </w:pPr>
      <w:r>
        <w:rPr>
          <w:rFonts w:ascii="Times New Roman"/>
          <w:b w:val="false"/>
          <w:i w:val="false"/>
          <w:color w:val="000000"/>
          <w:sz w:val="28"/>
        </w:rPr>
        <w:t>
      Корпоративная стратегия определяет краткосрочные (до года), и долгосрочные (более одного года) цели деятельности брокера и (или) дилера, Управляющего, маркетинговые планы.</w:t>
      </w:r>
    </w:p>
    <w:bookmarkStart w:name="z62" w:id="94"/>
    <w:p>
      <w:pPr>
        <w:spacing w:after="0"/>
        <w:ind w:left="0"/>
        <w:jc w:val="both"/>
      </w:pPr>
      <w:r>
        <w:rPr>
          <w:rFonts w:ascii="Times New Roman"/>
          <w:b w:val="false"/>
          <w:i w:val="false"/>
          <w:color w:val="000000"/>
          <w:sz w:val="28"/>
        </w:rPr>
        <w:t>
      19. Учетная политика брокера и (или) дилера, Управляющего составляется в соответствии с требованиями законодательства Республики Казахстан о бухгалтерском учете и финансовой отчетности и международных стандартов финансовой отчетности.</w:t>
      </w:r>
    </w:p>
    <w:bookmarkEnd w:id="94"/>
    <w:bookmarkStart w:name="z63" w:id="95"/>
    <w:p>
      <w:pPr>
        <w:spacing w:after="0"/>
        <w:ind w:left="0"/>
        <w:jc w:val="both"/>
      </w:pPr>
      <w:r>
        <w:rPr>
          <w:rFonts w:ascii="Times New Roman"/>
          <w:b w:val="false"/>
          <w:i w:val="false"/>
          <w:color w:val="000000"/>
          <w:sz w:val="28"/>
        </w:rPr>
        <w:t>
      20. Политика инвестирования активов клиентов Управляющего или брокера и (или) дилера, являющегося Управляющим, устанавливает условия и порядок осуществления деятельности по управлению активами клиентов, права и обязанности Управляющего активами клиентов, типовые формы документов, используемых в процессе деятельности по управлению активами клиентов, и включает описание процедур по:</w:t>
      </w:r>
    </w:p>
    <w:bookmarkEnd w:id="95"/>
    <w:p>
      <w:pPr>
        <w:spacing w:after="0"/>
        <w:ind w:left="0"/>
        <w:jc w:val="both"/>
      </w:pPr>
      <w:r>
        <w:rPr>
          <w:rFonts w:ascii="Times New Roman"/>
          <w:b w:val="false"/>
          <w:i w:val="false"/>
          <w:color w:val="000000"/>
          <w:sz w:val="28"/>
        </w:rPr>
        <w:t>
      1) проверке соответствия договора на управление инвестиционным портфелем требованиям законодательства Республики Казахстан о рынке ценных бумаг и инвестиционных фондах;</w:t>
      </w:r>
    </w:p>
    <w:p>
      <w:pPr>
        <w:spacing w:after="0"/>
        <w:ind w:left="0"/>
        <w:jc w:val="both"/>
      </w:pPr>
      <w:r>
        <w:rPr>
          <w:rFonts w:ascii="Times New Roman"/>
          <w:b w:val="false"/>
          <w:i w:val="false"/>
          <w:color w:val="000000"/>
          <w:sz w:val="28"/>
        </w:rPr>
        <w:t>
      2) разработке инвестиционной декларации по активам клиентов Управляющего;</w:t>
      </w:r>
    </w:p>
    <w:p>
      <w:pPr>
        <w:spacing w:after="0"/>
        <w:ind w:left="0"/>
        <w:jc w:val="both"/>
      </w:pPr>
      <w:r>
        <w:rPr>
          <w:rFonts w:ascii="Times New Roman"/>
          <w:b w:val="false"/>
          <w:i w:val="false"/>
          <w:color w:val="000000"/>
          <w:sz w:val="28"/>
        </w:rPr>
        <w:t>
      3) подготовке рекомендаций для принятия инвестиционных решений в отношении активов клиентов, предусматривающих:</w:t>
      </w:r>
    </w:p>
    <w:p>
      <w:pPr>
        <w:spacing w:after="0"/>
        <w:ind w:left="0"/>
        <w:jc w:val="both"/>
      </w:pPr>
      <w:r>
        <w:rPr>
          <w:rFonts w:ascii="Times New Roman"/>
          <w:b w:val="false"/>
          <w:i w:val="false"/>
          <w:color w:val="000000"/>
          <w:sz w:val="28"/>
        </w:rPr>
        <w:t>
      перечень должностей лиц, уполномоченных на выдачу рекомендаций;</w:t>
      </w:r>
    </w:p>
    <w:p>
      <w:pPr>
        <w:spacing w:after="0"/>
        <w:ind w:left="0"/>
        <w:jc w:val="both"/>
      </w:pPr>
      <w:r>
        <w:rPr>
          <w:rFonts w:ascii="Times New Roman"/>
          <w:b w:val="false"/>
          <w:i w:val="false"/>
          <w:color w:val="000000"/>
          <w:sz w:val="28"/>
        </w:rPr>
        <w:t>
      порядок осуществления анализа состояния инвестиционного портфеля за счет активов клиентов;</w:t>
      </w:r>
    </w:p>
    <w:p>
      <w:pPr>
        <w:spacing w:after="0"/>
        <w:ind w:left="0"/>
        <w:jc w:val="both"/>
      </w:pPr>
      <w:r>
        <w:rPr>
          <w:rFonts w:ascii="Times New Roman"/>
          <w:b w:val="false"/>
          <w:i w:val="false"/>
          <w:color w:val="000000"/>
          <w:sz w:val="28"/>
        </w:rPr>
        <w:t>
      порядок осуществления анализа наличия, условий выпуска и обращения и доходности финансовых инструментов, в которые предполагается осуществить инвестирование;</w:t>
      </w:r>
    </w:p>
    <w:p>
      <w:pPr>
        <w:spacing w:after="0"/>
        <w:ind w:left="0"/>
        <w:jc w:val="both"/>
      </w:pPr>
      <w:r>
        <w:rPr>
          <w:rFonts w:ascii="Times New Roman"/>
          <w:b w:val="false"/>
          <w:i w:val="false"/>
          <w:color w:val="000000"/>
          <w:sz w:val="28"/>
        </w:rPr>
        <w:t>
      порядок осуществления анализа рисков, связанных с финансовыми инструментами, в которые предполагается осуществить инвестирование;</w:t>
      </w:r>
    </w:p>
    <w:p>
      <w:pPr>
        <w:spacing w:after="0"/>
        <w:ind w:left="0"/>
        <w:jc w:val="both"/>
      </w:pPr>
      <w:r>
        <w:rPr>
          <w:rFonts w:ascii="Times New Roman"/>
          <w:b w:val="false"/>
          <w:i w:val="false"/>
          <w:color w:val="000000"/>
          <w:sz w:val="28"/>
        </w:rPr>
        <w:t>
      порядок осуществления анализа соблюдения норм диверсификации активов;</w:t>
      </w:r>
    </w:p>
    <w:p>
      <w:pPr>
        <w:spacing w:after="0"/>
        <w:ind w:left="0"/>
        <w:jc w:val="both"/>
      </w:pPr>
      <w:r>
        <w:rPr>
          <w:rFonts w:ascii="Times New Roman"/>
          <w:b w:val="false"/>
          <w:i w:val="false"/>
          <w:color w:val="000000"/>
          <w:sz w:val="28"/>
        </w:rPr>
        <w:t>
      порядок осуществления анализа факторов, существенных для выдачи рекомендаций;</w:t>
      </w:r>
    </w:p>
    <w:p>
      <w:pPr>
        <w:spacing w:after="0"/>
        <w:ind w:left="0"/>
        <w:jc w:val="both"/>
      </w:pPr>
      <w:r>
        <w:rPr>
          <w:rFonts w:ascii="Times New Roman"/>
          <w:b w:val="false"/>
          <w:i w:val="false"/>
          <w:color w:val="000000"/>
          <w:sz w:val="28"/>
        </w:rPr>
        <w:t>
      4) принятию инвестиционных решений в отношении активов клиентов, содержащих описание работы инвестиционного комитета Управляющего, уполномоченного на принятие инвестиционных решений, периодичность проведения и оформления результатов заседаний;</w:t>
      </w:r>
    </w:p>
    <w:p>
      <w:pPr>
        <w:spacing w:after="0"/>
        <w:ind w:left="0"/>
        <w:jc w:val="both"/>
      </w:pPr>
      <w:r>
        <w:rPr>
          <w:rFonts w:ascii="Times New Roman"/>
          <w:b w:val="false"/>
          <w:i w:val="false"/>
          <w:color w:val="000000"/>
          <w:sz w:val="28"/>
        </w:rPr>
        <w:t>
      5) взаимодействию органов и подразделений в процессе подготовки, принятия и исполнения инвестиционных решений;</w:t>
      </w:r>
    </w:p>
    <w:p>
      <w:pPr>
        <w:spacing w:after="0"/>
        <w:ind w:left="0"/>
        <w:jc w:val="both"/>
      </w:pPr>
      <w:r>
        <w:rPr>
          <w:rFonts w:ascii="Times New Roman"/>
          <w:b w:val="false"/>
          <w:i w:val="false"/>
          <w:color w:val="000000"/>
          <w:sz w:val="28"/>
        </w:rPr>
        <w:t>
      6) совершению сделок с участием активов клиентов и осуществлению контроля за совершением сделок с участием активов клиентов, в том числе на предмет предотвращения неправомерного использования активов клиентов, осуществлению сверок состава и движения активов, ведения внутреннего учета и документооборота заключенных сделок, а также перечень должностей руководящих работников, осуществляющих контроль за совершением сделок с участием активов клиентов;</w:t>
      </w:r>
    </w:p>
    <w:p>
      <w:pPr>
        <w:spacing w:after="0"/>
        <w:ind w:left="0"/>
        <w:jc w:val="both"/>
      </w:pPr>
      <w:r>
        <w:rPr>
          <w:rFonts w:ascii="Times New Roman"/>
          <w:b w:val="false"/>
          <w:i w:val="false"/>
          <w:color w:val="000000"/>
          <w:sz w:val="28"/>
        </w:rPr>
        <w:t>
      7) обеспечению достоверности учета и своевременность поступления средств на счета клиентов;</w:t>
      </w:r>
    </w:p>
    <w:p>
      <w:pPr>
        <w:spacing w:after="0"/>
        <w:ind w:left="0"/>
        <w:jc w:val="both"/>
      </w:pPr>
      <w:r>
        <w:rPr>
          <w:rFonts w:ascii="Times New Roman"/>
          <w:b w:val="false"/>
          <w:i w:val="false"/>
          <w:color w:val="000000"/>
          <w:sz w:val="28"/>
        </w:rPr>
        <w:t>
      8) обеспечению мониторинга соответствия учета активов клиента требованиям законодательства Республики Казахстан о рынке ценных бумаг и инвестиционных фондах;</w:t>
      </w:r>
    </w:p>
    <w:p>
      <w:pPr>
        <w:spacing w:after="0"/>
        <w:ind w:left="0"/>
        <w:jc w:val="both"/>
      </w:pPr>
      <w:r>
        <w:rPr>
          <w:rFonts w:ascii="Times New Roman"/>
          <w:b w:val="false"/>
          <w:i w:val="false"/>
          <w:color w:val="000000"/>
          <w:sz w:val="28"/>
        </w:rPr>
        <w:t>
      9) подготовке отчетности о результатах деятельности по управлению инвестиционным портфелем клиентов перед уполномоченным органом, Национальным Банком Республики Казахстан, соответствующими органами, клиентами, активы которых приняты в управление;</w:t>
      </w:r>
    </w:p>
    <w:p>
      <w:pPr>
        <w:spacing w:after="0"/>
        <w:ind w:left="0"/>
        <w:jc w:val="both"/>
      </w:pPr>
      <w:r>
        <w:rPr>
          <w:rFonts w:ascii="Times New Roman"/>
          <w:b w:val="false"/>
          <w:i w:val="false"/>
          <w:color w:val="000000"/>
          <w:sz w:val="28"/>
        </w:rPr>
        <w:t>
      10) обеспечению рассмотрения в установленный срок претензий клиентов по договорам на управление инвестиционным портфелем, своевременности восстановления потери инвестиций в случае операционной ошибки;</w:t>
      </w:r>
    </w:p>
    <w:p>
      <w:pPr>
        <w:spacing w:after="0"/>
        <w:ind w:left="0"/>
        <w:jc w:val="both"/>
      </w:pPr>
      <w:r>
        <w:rPr>
          <w:rFonts w:ascii="Times New Roman"/>
          <w:b w:val="false"/>
          <w:i w:val="false"/>
          <w:color w:val="000000"/>
          <w:sz w:val="28"/>
        </w:rPr>
        <w:t>
      11) внутреннему контролю за обеспечением целостности данных и конфиденциальностью информации;</w:t>
      </w:r>
    </w:p>
    <w:p>
      <w:pPr>
        <w:spacing w:after="0"/>
        <w:ind w:left="0"/>
        <w:jc w:val="both"/>
      </w:pPr>
      <w:r>
        <w:rPr>
          <w:rFonts w:ascii="Times New Roman"/>
          <w:b w:val="false"/>
          <w:i w:val="false"/>
          <w:color w:val="000000"/>
          <w:sz w:val="28"/>
        </w:rPr>
        <w:t>
      12) хеджированию финансовых инструментов, приобретенных за счет активов клиента;</w:t>
      </w:r>
    </w:p>
    <w:p>
      <w:pPr>
        <w:spacing w:after="0"/>
        <w:ind w:left="0"/>
        <w:jc w:val="both"/>
      </w:pPr>
      <w:r>
        <w:rPr>
          <w:rFonts w:ascii="Times New Roman"/>
          <w:b w:val="false"/>
          <w:i w:val="false"/>
          <w:color w:val="000000"/>
          <w:sz w:val="28"/>
        </w:rPr>
        <w:t>
      13) порядку определения и начисления вознаграждения, а также условиям предоставления данной информации клиентам.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постановлениями Правления Национального Банка РК от 03.02.2014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30.03.2020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96"/>
    <w:p>
      <w:pPr>
        <w:spacing w:after="0"/>
        <w:ind w:left="0"/>
        <w:jc w:val="both"/>
      </w:pPr>
      <w:r>
        <w:rPr>
          <w:rFonts w:ascii="Times New Roman"/>
          <w:b w:val="false"/>
          <w:i w:val="false"/>
          <w:color w:val="000000"/>
          <w:sz w:val="28"/>
        </w:rPr>
        <w:t>
       21. Политика инвестирования собственных активов Управляющего или брокера и (или) дилера, являющегося Управляющим, устанавливает условия и порядок осуществления деятельности по управлению собственными активами, типовые формы документов, используемых в процессе деятельности по управлению собственными активами, и включает описание процедур по:</w:t>
      </w:r>
    </w:p>
    <w:bookmarkEnd w:id="96"/>
    <w:p>
      <w:pPr>
        <w:spacing w:after="0"/>
        <w:ind w:left="0"/>
        <w:jc w:val="both"/>
      </w:pPr>
      <w:r>
        <w:rPr>
          <w:rFonts w:ascii="Times New Roman"/>
          <w:b w:val="false"/>
          <w:i w:val="false"/>
          <w:color w:val="000000"/>
          <w:sz w:val="28"/>
        </w:rPr>
        <w:t>
      1) разработке политики инвестирования собственных активов Управляющего или брокера и (или) дилера, являющегося Управляющим;</w:t>
      </w:r>
    </w:p>
    <w:p>
      <w:pPr>
        <w:spacing w:after="0"/>
        <w:ind w:left="0"/>
        <w:jc w:val="both"/>
      </w:pPr>
      <w:r>
        <w:rPr>
          <w:rFonts w:ascii="Times New Roman"/>
          <w:b w:val="false"/>
          <w:i w:val="false"/>
          <w:color w:val="000000"/>
          <w:sz w:val="28"/>
        </w:rPr>
        <w:t>
      2) подготовке рекомендаций для принятия решений о заключении сделок с финансовыми инструментами за счет собственных средств, предусматривающих:</w:t>
      </w:r>
    </w:p>
    <w:p>
      <w:pPr>
        <w:spacing w:after="0"/>
        <w:ind w:left="0"/>
        <w:jc w:val="both"/>
      </w:pPr>
      <w:r>
        <w:rPr>
          <w:rFonts w:ascii="Times New Roman"/>
          <w:b w:val="false"/>
          <w:i w:val="false"/>
          <w:color w:val="000000"/>
          <w:sz w:val="28"/>
        </w:rPr>
        <w:t>
      перечень должностей лиц, уполномоченных на выдачу рекомендаций;</w:t>
      </w:r>
    </w:p>
    <w:p>
      <w:pPr>
        <w:spacing w:after="0"/>
        <w:ind w:left="0"/>
        <w:jc w:val="both"/>
      </w:pPr>
      <w:r>
        <w:rPr>
          <w:rFonts w:ascii="Times New Roman"/>
          <w:b w:val="false"/>
          <w:i w:val="false"/>
          <w:color w:val="000000"/>
          <w:sz w:val="28"/>
        </w:rPr>
        <w:t>
      порядок осуществления анализа состояния инвестиционного портфеля за счет собственных активов;</w:t>
      </w:r>
    </w:p>
    <w:p>
      <w:pPr>
        <w:spacing w:after="0"/>
        <w:ind w:left="0"/>
        <w:jc w:val="both"/>
      </w:pPr>
      <w:r>
        <w:rPr>
          <w:rFonts w:ascii="Times New Roman"/>
          <w:b w:val="false"/>
          <w:i w:val="false"/>
          <w:color w:val="000000"/>
          <w:sz w:val="28"/>
        </w:rPr>
        <w:t>
      порядок осуществления анализа наличия, условий обращения и доходности финансовых инструментов, в которые предполагается осуществить инвестирование;</w:t>
      </w:r>
    </w:p>
    <w:p>
      <w:pPr>
        <w:spacing w:after="0"/>
        <w:ind w:left="0"/>
        <w:jc w:val="both"/>
      </w:pPr>
      <w:r>
        <w:rPr>
          <w:rFonts w:ascii="Times New Roman"/>
          <w:b w:val="false"/>
          <w:i w:val="false"/>
          <w:color w:val="000000"/>
          <w:sz w:val="28"/>
        </w:rPr>
        <w:t>
      порядок осуществления анализа рисков, связанных с финансовыми инструментами, в которые предполагается осуществить инвестирование;</w:t>
      </w:r>
    </w:p>
    <w:p>
      <w:pPr>
        <w:spacing w:after="0"/>
        <w:ind w:left="0"/>
        <w:jc w:val="both"/>
      </w:pPr>
      <w:r>
        <w:rPr>
          <w:rFonts w:ascii="Times New Roman"/>
          <w:b w:val="false"/>
          <w:i w:val="false"/>
          <w:color w:val="000000"/>
          <w:sz w:val="28"/>
        </w:rPr>
        <w:t>
      порядок осуществления анализа соблюдения норм диверсификации активов;</w:t>
      </w:r>
    </w:p>
    <w:p>
      <w:pPr>
        <w:spacing w:after="0"/>
        <w:ind w:left="0"/>
        <w:jc w:val="both"/>
      </w:pPr>
      <w:r>
        <w:rPr>
          <w:rFonts w:ascii="Times New Roman"/>
          <w:b w:val="false"/>
          <w:i w:val="false"/>
          <w:color w:val="000000"/>
          <w:sz w:val="28"/>
        </w:rPr>
        <w:t>
      порядок осуществления анализа факторов, существенных для выдачи рекомендаций;</w:t>
      </w:r>
    </w:p>
    <w:p>
      <w:pPr>
        <w:spacing w:after="0"/>
        <w:ind w:left="0"/>
        <w:jc w:val="both"/>
      </w:pPr>
      <w:r>
        <w:rPr>
          <w:rFonts w:ascii="Times New Roman"/>
          <w:b w:val="false"/>
          <w:i w:val="false"/>
          <w:color w:val="000000"/>
          <w:sz w:val="28"/>
        </w:rPr>
        <w:t>
      3) принятию решений о заключении сделок с финансовыми инструментами за счет собственных средств Управляющего или брокера и (или) дилера, являющегося Управляющим, содержащие описание работы инвестиционного комитета, уполномоченного на принятие таких решений, периодичность проведения и оформления результатов заседаний;</w:t>
      </w:r>
    </w:p>
    <w:p>
      <w:pPr>
        <w:spacing w:after="0"/>
        <w:ind w:left="0"/>
        <w:jc w:val="both"/>
      </w:pPr>
      <w:r>
        <w:rPr>
          <w:rFonts w:ascii="Times New Roman"/>
          <w:b w:val="false"/>
          <w:i w:val="false"/>
          <w:color w:val="000000"/>
          <w:sz w:val="28"/>
        </w:rPr>
        <w:t>
      4) взаимодействию органов и подразделений Управляющего или брокера и (или) дилера, являющегося Управляющим, в процессе подготовки, принятия и исполнения решений о заключении сделок с финансовыми инструментами за счет собственных средств;</w:t>
      </w:r>
    </w:p>
    <w:p>
      <w:pPr>
        <w:spacing w:after="0"/>
        <w:ind w:left="0"/>
        <w:jc w:val="both"/>
      </w:pPr>
      <w:r>
        <w:rPr>
          <w:rFonts w:ascii="Times New Roman"/>
          <w:b w:val="false"/>
          <w:i w:val="false"/>
          <w:color w:val="000000"/>
          <w:sz w:val="28"/>
        </w:rPr>
        <w:t>
      5) совершению сделок с участием собственных активов и осуществлению контроля за их исполнением, контролю за совершением сделок с участием собственных активов, осуществлению сверок состава и движения активов, ведения внутреннего учета и документооборота заключенных сделок, а также перечень должностей руководящих работников, осуществляющих контроль за совершением сделок с участием собственных активов;</w:t>
      </w:r>
    </w:p>
    <w:p>
      <w:pPr>
        <w:spacing w:after="0"/>
        <w:ind w:left="0"/>
        <w:jc w:val="both"/>
      </w:pPr>
      <w:r>
        <w:rPr>
          <w:rFonts w:ascii="Times New Roman"/>
          <w:b w:val="false"/>
          <w:i w:val="false"/>
          <w:color w:val="000000"/>
          <w:sz w:val="28"/>
        </w:rPr>
        <w:t>
      6) подготовке отчетности о результатах деятельности по управлению собственными активами перед уполномоченным органом, Национальным Банком Республики Казахстан, соответствующими органами Управляющего или брокера и (или) дилера, являющегося Управляющим.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постановлениями Правления Национального Банка РК от 03.02.2014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30.03.2020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97"/>
    <w:p>
      <w:pPr>
        <w:spacing w:after="0"/>
        <w:ind w:left="0"/>
        <w:jc w:val="both"/>
      </w:pPr>
      <w:r>
        <w:rPr>
          <w:rFonts w:ascii="Times New Roman"/>
          <w:b w:val="false"/>
          <w:i w:val="false"/>
          <w:color w:val="000000"/>
          <w:sz w:val="28"/>
        </w:rPr>
        <w:t>
       22. Политика инвестирования собственных активов брокера и (или) дилера устанавливает условия и порядок осуществления деятельности по управлению собственными активами, типовые формы документов, используемых в процессе деятельности по управлению собственными активами, и включает описание процедур по:</w:t>
      </w:r>
    </w:p>
    <w:bookmarkEnd w:id="97"/>
    <w:p>
      <w:pPr>
        <w:spacing w:after="0"/>
        <w:ind w:left="0"/>
        <w:jc w:val="both"/>
      </w:pPr>
      <w:r>
        <w:rPr>
          <w:rFonts w:ascii="Times New Roman"/>
          <w:b w:val="false"/>
          <w:i w:val="false"/>
          <w:color w:val="000000"/>
          <w:sz w:val="28"/>
        </w:rPr>
        <w:t>
      1) разработке политики инвестирования собственных активов брокера и (или) дилера;</w:t>
      </w:r>
    </w:p>
    <w:p>
      <w:pPr>
        <w:spacing w:after="0"/>
        <w:ind w:left="0"/>
        <w:jc w:val="both"/>
      </w:pPr>
      <w:r>
        <w:rPr>
          <w:rFonts w:ascii="Times New Roman"/>
          <w:b w:val="false"/>
          <w:i w:val="false"/>
          <w:color w:val="000000"/>
          <w:sz w:val="28"/>
        </w:rPr>
        <w:t>
      2) проведению анализа, необходимого для принятия решений о заключении сделок с финансовыми инструментами за счет собственных средств брокера и (или) дилера, предусматривающих:</w:t>
      </w:r>
    </w:p>
    <w:p>
      <w:pPr>
        <w:spacing w:after="0"/>
        <w:ind w:left="0"/>
        <w:jc w:val="both"/>
      </w:pPr>
      <w:r>
        <w:rPr>
          <w:rFonts w:ascii="Times New Roman"/>
          <w:b w:val="false"/>
          <w:i w:val="false"/>
          <w:color w:val="000000"/>
          <w:sz w:val="28"/>
        </w:rPr>
        <w:t>
      порядок осуществления анализа состояния инвестиционного портфеля за счет собственных активов;</w:t>
      </w:r>
    </w:p>
    <w:p>
      <w:pPr>
        <w:spacing w:after="0"/>
        <w:ind w:left="0"/>
        <w:jc w:val="both"/>
      </w:pPr>
      <w:r>
        <w:rPr>
          <w:rFonts w:ascii="Times New Roman"/>
          <w:b w:val="false"/>
          <w:i w:val="false"/>
          <w:color w:val="000000"/>
          <w:sz w:val="28"/>
        </w:rPr>
        <w:t>
      порядок осуществления анализа наличия, условий обращения и доходности финансовых инструментов, в которые предполагается осуществить инвестирование;</w:t>
      </w:r>
    </w:p>
    <w:p>
      <w:pPr>
        <w:spacing w:after="0"/>
        <w:ind w:left="0"/>
        <w:jc w:val="both"/>
      </w:pPr>
      <w:r>
        <w:rPr>
          <w:rFonts w:ascii="Times New Roman"/>
          <w:b w:val="false"/>
          <w:i w:val="false"/>
          <w:color w:val="000000"/>
          <w:sz w:val="28"/>
        </w:rPr>
        <w:t>
      порядок осуществления анализа рисков, связанных с финансовыми инструментами, в которые предполагается осуществить инвестирование;</w:t>
      </w:r>
    </w:p>
    <w:p>
      <w:pPr>
        <w:spacing w:after="0"/>
        <w:ind w:left="0"/>
        <w:jc w:val="both"/>
      </w:pPr>
      <w:r>
        <w:rPr>
          <w:rFonts w:ascii="Times New Roman"/>
          <w:b w:val="false"/>
          <w:i w:val="false"/>
          <w:color w:val="000000"/>
          <w:sz w:val="28"/>
        </w:rPr>
        <w:t>
      3) принятию решений о заключении сделок с финансовыми инструментами за счет собственных средств брокера и (или) дилера на коллегиальной основе;</w:t>
      </w:r>
    </w:p>
    <w:p>
      <w:pPr>
        <w:spacing w:after="0"/>
        <w:ind w:left="0"/>
        <w:jc w:val="both"/>
      </w:pPr>
      <w:r>
        <w:rPr>
          <w:rFonts w:ascii="Times New Roman"/>
          <w:b w:val="false"/>
          <w:i w:val="false"/>
          <w:color w:val="000000"/>
          <w:sz w:val="28"/>
        </w:rPr>
        <w:t>
      4) взаимодействию органов и подразделений брокера и (или) дилера в процессе подготовки, принятия и исполнения решений о заключении сделок с финансовыми инструментами за счет собственных средств;</w:t>
      </w:r>
    </w:p>
    <w:p>
      <w:pPr>
        <w:spacing w:after="0"/>
        <w:ind w:left="0"/>
        <w:jc w:val="both"/>
      </w:pPr>
      <w:r>
        <w:rPr>
          <w:rFonts w:ascii="Times New Roman"/>
          <w:b w:val="false"/>
          <w:i w:val="false"/>
          <w:color w:val="000000"/>
          <w:sz w:val="28"/>
        </w:rPr>
        <w:t>
      5) совершению сделок с участием собственных активов и осуществлению контроля за их исполнением, контролю за совершением сделок с участием собственных активов, осуществлению сверок состава и движения активов, ведения внутреннего учета и документооборота заключенных сделок, а также перечень должностей руководящих работников, осуществляющих контроль за совершением сделок с участием собственных активов;</w:t>
      </w:r>
    </w:p>
    <w:p>
      <w:pPr>
        <w:spacing w:after="0"/>
        <w:ind w:left="0"/>
        <w:jc w:val="both"/>
      </w:pPr>
      <w:r>
        <w:rPr>
          <w:rFonts w:ascii="Times New Roman"/>
          <w:b w:val="false"/>
          <w:i w:val="false"/>
          <w:color w:val="000000"/>
          <w:sz w:val="28"/>
        </w:rPr>
        <w:t>
      6) подготовке отчетности о результатах деятельности по управлению инвестиционным портфелем собственными активами перед органом управления (наблюдательным советом) брокера и (или) дилера.</w:t>
      </w:r>
    </w:p>
    <w:bookmarkStart w:name="z66" w:id="98"/>
    <w:p>
      <w:pPr>
        <w:spacing w:after="0"/>
        <w:ind w:left="0"/>
        <w:jc w:val="both"/>
      </w:pPr>
      <w:r>
        <w:rPr>
          <w:rFonts w:ascii="Times New Roman"/>
          <w:b w:val="false"/>
          <w:i w:val="false"/>
          <w:color w:val="000000"/>
          <w:sz w:val="28"/>
        </w:rPr>
        <w:t xml:space="preserve">
      23. Политика инвестирования собственных активов брокера и (или) дилера, Управляющего разрабатывается и утверждается в соответствии с требованиями </w:t>
      </w:r>
      <w:r>
        <w:rPr>
          <w:rFonts w:ascii="Times New Roman"/>
          <w:b w:val="false"/>
          <w:i w:val="false"/>
          <w:color w:val="000000"/>
          <w:sz w:val="28"/>
        </w:rPr>
        <w:t>главы 4</w:t>
      </w:r>
      <w:r>
        <w:rPr>
          <w:rFonts w:ascii="Times New Roman"/>
          <w:b w:val="false"/>
          <w:i w:val="false"/>
          <w:color w:val="000000"/>
          <w:sz w:val="28"/>
        </w:rPr>
        <w:t xml:space="preserve"> Правил.</w:t>
      </w:r>
    </w:p>
    <w:bookmarkEnd w:id="98"/>
    <w:bookmarkStart w:name="z67" w:id="99"/>
    <w:p>
      <w:pPr>
        <w:spacing w:after="0"/>
        <w:ind w:left="0"/>
        <w:jc w:val="both"/>
      </w:pPr>
      <w:r>
        <w:rPr>
          <w:rFonts w:ascii="Times New Roman"/>
          <w:b w:val="false"/>
          <w:i w:val="false"/>
          <w:color w:val="000000"/>
          <w:sz w:val="28"/>
        </w:rPr>
        <w:t>
      24. Политика брокера и (или) дилера, Управляющего по управлению рисками определяет:</w:t>
      </w:r>
    </w:p>
    <w:bookmarkEnd w:id="99"/>
    <w:p>
      <w:pPr>
        <w:spacing w:after="0"/>
        <w:ind w:left="0"/>
        <w:jc w:val="both"/>
      </w:pPr>
      <w:r>
        <w:rPr>
          <w:rFonts w:ascii="Times New Roman"/>
          <w:b w:val="false"/>
          <w:i w:val="false"/>
          <w:color w:val="000000"/>
          <w:sz w:val="28"/>
        </w:rPr>
        <w:t>
      1) полномочия и функциональные обязанности по управлению рисками членов органа управления (наблюдательного совета), членов исполнительного органа и ответственных работников брокера и (или) дилера, Управляющего;</w:t>
      </w:r>
    </w:p>
    <w:p>
      <w:pPr>
        <w:spacing w:after="0"/>
        <w:ind w:left="0"/>
        <w:jc w:val="both"/>
      </w:pPr>
      <w:r>
        <w:rPr>
          <w:rFonts w:ascii="Times New Roman"/>
          <w:b w:val="false"/>
          <w:i w:val="false"/>
          <w:color w:val="000000"/>
          <w:sz w:val="28"/>
        </w:rPr>
        <w:t>
      2) квалификационные требования к работникам подразделений, осуществляющих управление рисками и лицензируемые виды деятельности на финансовом рынке, включая, но, не ограничиваясь, требованиями по наличию образования и стажа работы;</w:t>
      </w:r>
    </w:p>
    <w:p>
      <w:pPr>
        <w:spacing w:after="0"/>
        <w:ind w:left="0"/>
        <w:jc w:val="both"/>
      </w:pPr>
      <w:r>
        <w:rPr>
          <w:rFonts w:ascii="Times New Roman"/>
          <w:b w:val="false"/>
          <w:i w:val="false"/>
          <w:color w:val="000000"/>
          <w:sz w:val="28"/>
        </w:rPr>
        <w:t>
      3) формат информации о текущем финансовом состоянии и деятельности брокера и (или) дилера, Управляющего и принятых рисках в виде определенных форм управленческой отчетности, которая идентифицирует и измеряет кредитный, процентный, валютный, страновой (трансфертный), репутационный риски, риск потери ликвидности и иные установленные риски, определяет степень подверженности рискам;</w:t>
      </w:r>
    </w:p>
    <w:p>
      <w:pPr>
        <w:spacing w:after="0"/>
        <w:ind w:left="0"/>
        <w:jc w:val="both"/>
      </w:pPr>
      <w:r>
        <w:rPr>
          <w:rFonts w:ascii="Times New Roman"/>
          <w:b w:val="false"/>
          <w:i w:val="false"/>
          <w:color w:val="000000"/>
          <w:sz w:val="28"/>
        </w:rPr>
        <w:t>
      4) наличие в составе организационной структуры брокера и (или) дилера, Управляющего отдельного подразделения по управлению рисками, не участвующего в осуществлении иных видов деятельности брокера и (или) дилера, Управляющего;</w:t>
      </w:r>
    </w:p>
    <w:p>
      <w:pPr>
        <w:spacing w:after="0"/>
        <w:ind w:left="0"/>
        <w:jc w:val="both"/>
      </w:pPr>
      <w:r>
        <w:rPr>
          <w:rFonts w:ascii="Times New Roman"/>
          <w:b w:val="false"/>
          <w:i w:val="false"/>
          <w:color w:val="000000"/>
          <w:sz w:val="28"/>
        </w:rPr>
        <w:t>
      5) два уровня контроля операций, осуществляемых в рамках лицензируемых видов деятельности, перечень которых определяется внутренними документами брокера и (или) дилера, Управляющего: работник, выполняющий операцию - первый уровень, непосредственный руководитель, контролирующий работника, выполняющего операцию, - второй уровень;</w:t>
      </w:r>
    </w:p>
    <w:p>
      <w:pPr>
        <w:spacing w:after="0"/>
        <w:ind w:left="0"/>
        <w:jc w:val="both"/>
      </w:pPr>
      <w:r>
        <w:rPr>
          <w:rFonts w:ascii="Times New Roman"/>
          <w:b w:val="false"/>
          <w:i w:val="false"/>
          <w:color w:val="000000"/>
          <w:sz w:val="28"/>
        </w:rPr>
        <w:t>
      6) процедуры постоянного мониторинга и определения эффективности принятых решений о заключении сделок с финансовыми инструментами за счет собственных средств и активов клиентов, принятых в инвестиционное управление, включая анализ транзакционных расходов, связанных с исполнением таких решений;</w:t>
      </w:r>
    </w:p>
    <w:p>
      <w:pPr>
        <w:spacing w:after="0"/>
        <w:ind w:left="0"/>
        <w:jc w:val="both"/>
      </w:pPr>
      <w:r>
        <w:rPr>
          <w:rFonts w:ascii="Times New Roman"/>
          <w:b w:val="false"/>
          <w:i w:val="false"/>
          <w:color w:val="000000"/>
          <w:sz w:val="28"/>
        </w:rPr>
        <w:t>
      7) порядок действий в случае наступления событий, которые оказывают влияние на значительное ухудшение финансового состояния брокера и (или) дилера, Управляющего и (или) на его способность отвечать по своим обязательствам;</w:t>
      </w:r>
    </w:p>
    <w:p>
      <w:pPr>
        <w:spacing w:after="0"/>
        <w:ind w:left="0"/>
        <w:jc w:val="both"/>
      </w:pPr>
      <w:r>
        <w:rPr>
          <w:rFonts w:ascii="Times New Roman"/>
          <w:b w:val="false"/>
          <w:i w:val="false"/>
          <w:color w:val="000000"/>
          <w:sz w:val="28"/>
        </w:rPr>
        <w:t>
      8) порядок осуществления операционной (текущей) деятельности брокера и (или) дилера, Управляющего и бухгалтерского учета, определяющий:</w:t>
      </w:r>
    </w:p>
    <w:p>
      <w:pPr>
        <w:spacing w:after="0"/>
        <w:ind w:left="0"/>
        <w:jc w:val="both"/>
      </w:pPr>
      <w:r>
        <w:rPr>
          <w:rFonts w:ascii="Times New Roman"/>
          <w:b w:val="false"/>
          <w:i w:val="false"/>
          <w:color w:val="000000"/>
          <w:sz w:val="28"/>
        </w:rPr>
        <w:t>
      подразделения, обеспечивающие осуществление операционной (текущей) деятельности брокера и (или) дилера, Управляющего, их функции, обязанности и полномочия;</w:t>
      </w:r>
    </w:p>
    <w:p>
      <w:pPr>
        <w:spacing w:after="0"/>
        <w:ind w:left="0"/>
        <w:jc w:val="both"/>
      </w:pPr>
      <w:r>
        <w:rPr>
          <w:rFonts w:ascii="Times New Roman"/>
          <w:b w:val="false"/>
          <w:i w:val="false"/>
          <w:color w:val="000000"/>
          <w:sz w:val="28"/>
        </w:rPr>
        <w:t>
      технический порядок проведения операций;</w:t>
      </w:r>
    </w:p>
    <w:p>
      <w:pPr>
        <w:spacing w:after="0"/>
        <w:ind w:left="0"/>
        <w:jc w:val="both"/>
      </w:pPr>
      <w:r>
        <w:rPr>
          <w:rFonts w:ascii="Times New Roman"/>
          <w:b w:val="false"/>
          <w:i w:val="false"/>
          <w:color w:val="000000"/>
          <w:sz w:val="28"/>
        </w:rPr>
        <w:t>
      систему бухгалтерского учета операций брокера и (или) дилера, Управляющего;</w:t>
      </w:r>
    </w:p>
    <w:p>
      <w:pPr>
        <w:spacing w:after="0"/>
        <w:ind w:left="0"/>
        <w:jc w:val="both"/>
      </w:pPr>
      <w:r>
        <w:rPr>
          <w:rFonts w:ascii="Times New Roman"/>
          <w:b w:val="false"/>
          <w:i w:val="false"/>
          <w:color w:val="000000"/>
          <w:sz w:val="28"/>
        </w:rPr>
        <w:t>
      систему документооборота и делопроизводства брокера и (или) дилера, Управляющего;</w:t>
      </w:r>
    </w:p>
    <w:p>
      <w:pPr>
        <w:spacing w:after="0"/>
        <w:ind w:left="0"/>
        <w:jc w:val="both"/>
      </w:pPr>
      <w:r>
        <w:rPr>
          <w:rFonts w:ascii="Times New Roman"/>
          <w:b w:val="false"/>
          <w:i w:val="false"/>
          <w:color w:val="000000"/>
          <w:sz w:val="28"/>
        </w:rPr>
        <w:t>
      процедуры по предотвращению рисков нарушения порядка осуществления операционной (текущей) деятельности брокера и (или) дилера, Управляющего:</w:t>
      </w:r>
    </w:p>
    <w:p>
      <w:pPr>
        <w:spacing w:after="0"/>
        <w:ind w:left="0"/>
        <w:jc w:val="both"/>
      </w:pPr>
      <w:r>
        <w:rPr>
          <w:rFonts w:ascii="Times New Roman"/>
          <w:b w:val="false"/>
          <w:i w:val="false"/>
          <w:color w:val="000000"/>
          <w:sz w:val="28"/>
        </w:rPr>
        <w:t>
      ограничивающие возможность неправильного проведения и недостоверного отражения в учете совершенных операций с финансовыми инструментами;</w:t>
      </w:r>
    </w:p>
    <w:p>
      <w:pPr>
        <w:spacing w:after="0"/>
        <w:ind w:left="0"/>
        <w:jc w:val="both"/>
      </w:pPr>
      <w:r>
        <w:rPr>
          <w:rFonts w:ascii="Times New Roman"/>
          <w:b w:val="false"/>
          <w:i w:val="false"/>
          <w:color w:val="000000"/>
          <w:sz w:val="28"/>
        </w:rPr>
        <w:t>
      обеспечивающие безопасность проведения операций, а именно выявление и предотвращение случаев злоупотребления при осуществлении операций с доходами и принятии риска, неадекватного размеру собственного капитала и доходов;</w:t>
      </w:r>
    </w:p>
    <w:p>
      <w:pPr>
        <w:spacing w:after="0"/>
        <w:ind w:left="0"/>
        <w:jc w:val="both"/>
      </w:pPr>
      <w:r>
        <w:rPr>
          <w:rFonts w:ascii="Times New Roman"/>
          <w:b w:val="false"/>
          <w:i w:val="false"/>
          <w:color w:val="000000"/>
          <w:sz w:val="28"/>
        </w:rPr>
        <w:t>
      обеспечивающие бесперебойное функционирование системы электронной обработки и наличие у лиц, осуществляющих контроль системы электронной обработки данных и отвечающих за вопросы обработки данных, квалификации и опыта, соответствующих профилю работы;</w:t>
      </w:r>
    </w:p>
    <w:p>
      <w:pPr>
        <w:spacing w:after="0"/>
        <w:ind w:left="0"/>
        <w:jc w:val="both"/>
      </w:pPr>
      <w:r>
        <w:rPr>
          <w:rFonts w:ascii="Times New Roman"/>
          <w:b w:val="false"/>
          <w:i w:val="false"/>
          <w:color w:val="000000"/>
          <w:sz w:val="28"/>
        </w:rPr>
        <w:t>
      направленные на предотвращение несанкционированного доступа в компьютерную и телекоммуникационную системы и предполагающие наличие у подразделения информационного обеспечения системы проверки уровня допуска при входе и выходе из автоматизированной системы и устанавливающие ответственность подразделения информационного обеспечения по контролю важных ключей, в том числе электронных ключей к информационным базам данных;</w:t>
      </w:r>
    </w:p>
    <w:p>
      <w:pPr>
        <w:spacing w:after="0"/>
        <w:ind w:left="0"/>
        <w:jc w:val="both"/>
      </w:pPr>
      <w:r>
        <w:rPr>
          <w:rFonts w:ascii="Times New Roman"/>
          <w:b w:val="false"/>
          <w:i w:val="false"/>
          <w:color w:val="000000"/>
          <w:sz w:val="28"/>
        </w:rPr>
        <w:t>
      направленные на выполнение плановых мероприятий, в том числе при форс-мажорных обстоятельствах по обеспечению сохранности информационных систем баз данных, предусматривающих:</w:t>
      </w:r>
    </w:p>
    <w:p>
      <w:pPr>
        <w:spacing w:after="0"/>
        <w:ind w:left="0"/>
        <w:jc w:val="both"/>
      </w:pPr>
      <w:r>
        <w:rPr>
          <w:rFonts w:ascii="Times New Roman"/>
          <w:b w:val="false"/>
          <w:i w:val="false"/>
          <w:color w:val="000000"/>
          <w:sz w:val="28"/>
        </w:rPr>
        <w:t>
      наличие обособленных помещений для технических комплексов информационных баз данных, отвечающих требованиям пожарной безопасности и сейсмоустойчивости, автономного электропитания, резервных компьютеров и сетевых коммуникаций, регулярного формирования резервных копий системно-важных программных файлов и файлов данных;</w:t>
      </w:r>
    </w:p>
    <w:p>
      <w:pPr>
        <w:spacing w:after="0"/>
        <w:ind w:left="0"/>
        <w:jc w:val="both"/>
      </w:pPr>
      <w:r>
        <w:rPr>
          <w:rFonts w:ascii="Times New Roman"/>
          <w:b w:val="false"/>
          <w:i w:val="false"/>
          <w:color w:val="000000"/>
          <w:sz w:val="28"/>
        </w:rPr>
        <w:t>
      делегирование полномочий и ответственность в случае возникновения форс-мажорных обстоятельств;</w:t>
      </w:r>
    </w:p>
    <w:p>
      <w:pPr>
        <w:spacing w:after="0"/>
        <w:ind w:left="0"/>
        <w:jc w:val="both"/>
      </w:pPr>
      <w:r>
        <w:rPr>
          <w:rFonts w:ascii="Times New Roman"/>
          <w:b w:val="false"/>
          <w:i w:val="false"/>
          <w:color w:val="000000"/>
          <w:sz w:val="28"/>
        </w:rPr>
        <w:t>
      определение действий при наступлении форс-мажорных обстоятельств, предусматривающих правила и руководства для компьютерного центра в случае чрезвычайного сбоя в работе системы;</w:t>
      </w:r>
    </w:p>
    <w:p>
      <w:pPr>
        <w:spacing w:after="0"/>
        <w:ind w:left="0"/>
        <w:jc w:val="both"/>
      </w:pPr>
      <w:r>
        <w:rPr>
          <w:rFonts w:ascii="Times New Roman"/>
          <w:b w:val="false"/>
          <w:i w:val="false"/>
          <w:color w:val="000000"/>
          <w:sz w:val="28"/>
        </w:rPr>
        <w:t>
      предотвращение сбоев с помощью регулярных инспекций оборудования и проверки отчетов о работе подразделением информационного обеспечения;</w:t>
      </w:r>
    </w:p>
    <w:p>
      <w:pPr>
        <w:spacing w:after="0"/>
        <w:ind w:left="0"/>
        <w:jc w:val="both"/>
      </w:pPr>
      <w:r>
        <w:rPr>
          <w:rFonts w:ascii="Times New Roman"/>
          <w:b w:val="false"/>
          <w:i w:val="false"/>
          <w:color w:val="000000"/>
          <w:sz w:val="28"/>
        </w:rPr>
        <w:t>
      установление порядка планирования, разработки и функционирования систем электронной обработки данных.</w:t>
      </w:r>
    </w:p>
    <w:bookmarkStart w:name="z68" w:id="100"/>
    <w:p>
      <w:pPr>
        <w:spacing w:after="0"/>
        <w:ind w:left="0"/>
        <w:jc w:val="both"/>
      </w:pPr>
      <w:r>
        <w:rPr>
          <w:rFonts w:ascii="Times New Roman"/>
          <w:b w:val="false"/>
          <w:i w:val="false"/>
          <w:color w:val="000000"/>
          <w:sz w:val="28"/>
        </w:rPr>
        <w:t xml:space="preserve">
      25. Политика по управлению рисками Управляющего, в дополнение к перечню сведений, установленных </w:t>
      </w:r>
      <w:r>
        <w:rPr>
          <w:rFonts w:ascii="Times New Roman"/>
          <w:b w:val="false"/>
          <w:i w:val="false"/>
          <w:color w:val="000000"/>
          <w:sz w:val="28"/>
        </w:rPr>
        <w:t>пунктом 24</w:t>
      </w:r>
      <w:r>
        <w:rPr>
          <w:rFonts w:ascii="Times New Roman"/>
          <w:b w:val="false"/>
          <w:i w:val="false"/>
          <w:color w:val="000000"/>
          <w:sz w:val="28"/>
        </w:rPr>
        <w:t xml:space="preserve"> Правил, определяет:</w:t>
      </w:r>
    </w:p>
    <w:bookmarkEnd w:id="100"/>
    <w:p>
      <w:pPr>
        <w:spacing w:after="0"/>
        <w:ind w:left="0"/>
        <w:jc w:val="both"/>
      </w:pPr>
      <w:r>
        <w:rPr>
          <w:rFonts w:ascii="Times New Roman"/>
          <w:b w:val="false"/>
          <w:i w:val="false"/>
          <w:color w:val="000000"/>
          <w:sz w:val="28"/>
        </w:rPr>
        <w:t>
      1) процедуры по идентификации, оценке, мониторингу и контролю рисков, присущих лицензируемому виду деятельности, в том числе:</w:t>
      </w:r>
    </w:p>
    <w:p>
      <w:pPr>
        <w:spacing w:after="0"/>
        <w:ind w:left="0"/>
        <w:jc w:val="both"/>
      </w:pPr>
      <w:r>
        <w:rPr>
          <w:rFonts w:ascii="Times New Roman"/>
          <w:b w:val="false"/>
          <w:i w:val="false"/>
          <w:color w:val="000000"/>
          <w:sz w:val="28"/>
        </w:rPr>
        <w:t>
      методику оценки рисков с использованием международной практики оценки финансовых инструментов по предполагаемому риску (VAR-модель);</w:t>
      </w:r>
    </w:p>
    <w:p>
      <w:pPr>
        <w:spacing w:after="0"/>
        <w:ind w:left="0"/>
        <w:jc w:val="both"/>
      </w:pPr>
      <w:r>
        <w:rPr>
          <w:rFonts w:ascii="Times New Roman"/>
          <w:b w:val="false"/>
          <w:i w:val="false"/>
          <w:color w:val="000000"/>
          <w:sz w:val="28"/>
        </w:rPr>
        <w:t>
      порядок измерения рисков, включая риски, присущие операциям с производными финансовыми инструментами, описание используемых моделей измерения риска;</w:t>
      </w:r>
    </w:p>
    <w:p>
      <w:pPr>
        <w:spacing w:after="0"/>
        <w:ind w:left="0"/>
        <w:jc w:val="both"/>
      </w:pPr>
      <w:r>
        <w:rPr>
          <w:rFonts w:ascii="Times New Roman"/>
          <w:b w:val="false"/>
          <w:i w:val="false"/>
          <w:color w:val="000000"/>
          <w:sz w:val="28"/>
        </w:rPr>
        <w:t>
      процедуры определения стоимости финансового инструмента с учетом влияющих на нее рисков;</w:t>
      </w:r>
    </w:p>
    <w:p>
      <w:pPr>
        <w:spacing w:after="0"/>
        <w:ind w:left="0"/>
        <w:jc w:val="both"/>
      </w:pPr>
      <w:r>
        <w:rPr>
          <w:rFonts w:ascii="Times New Roman"/>
          <w:b w:val="false"/>
          <w:i w:val="false"/>
          <w:color w:val="000000"/>
          <w:sz w:val="28"/>
        </w:rPr>
        <w:t>
      2) порядок осуществления контроля за выполнением установленных в отношении активов клиентов, принятых в инвестиционное управление, и собственных активов лимитов инвестирования с указанием перечня должностей лиц, ответственных за осуществление контроля;</w:t>
      </w:r>
    </w:p>
    <w:p>
      <w:pPr>
        <w:spacing w:after="0"/>
        <w:ind w:left="0"/>
        <w:jc w:val="both"/>
      </w:pPr>
      <w:r>
        <w:rPr>
          <w:rFonts w:ascii="Times New Roman"/>
          <w:b w:val="false"/>
          <w:i w:val="false"/>
          <w:color w:val="000000"/>
          <w:sz w:val="28"/>
        </w:rPr>
        <w:t>
      3) правила установления и контроля за выполнением лимитов "stop-loss", "take-profit", с указанием перечня должностей лиц, ответственных за осуществление контроля;</w:t>
      </w:r>
    </w:p>
    <w:p>
      <w:pPr>
        <w:spacing w:after="0"/>
        <w:ind w:left="0"/>
        <w:jc w:val="both"/>
      </w:pPr>
      <w:r>
        <w:rPr>
          <w:rFonts w:ascii="Times New Roman"/>
          <w:b w:val="false"/>
          <w:i w:val="false"/>
          <w:color w:val="000000"/>
          <w:sz w:val="28"/>
        </w:rPr>
        <w:t>
      4) процедуры структурирования инвестиционного портфеля в целях поддержания стабильных показателей инвестиционной рентабельности в средне- и долгосрочной перспективе, включая правила установления максимального допустимого размера убытков по активам клиентов, принятых в инвестиционное управление, и контроля за его выполнением, с указанием перечня должностей лиц, ответственных за осуществление контроля;</w:t>
      </w:r>
    </w:p>
    <w:p>
      <w:pPr>
        <w:spacing w:after="0"/>
        <w:ind w:left="0"/>
        <w:jc w:val="both"/>
      </w:pPr>
      <w:r>
        <w:rPr>
          <w:rFonts w:ascii="Times New Roman"/>
          <w:b w:val="false"/>
          <w:i w:val="false"/>
          <w:color w:val="000000"/>
          <w:sz w:val="28"/>
        </w:rPr>
        <w:t>
      5) порядок инициирования внесения изменений в инвестиционную декларацию и пересмотра лимитов инвестирования, лимитов "stop-loss" и "take-profit" в случае нарастания рисков, связанных с инвестированием активов клиентов, принятых в инвестиционное управление, и собственных активов;</w:t>
      </w:r>
    </w:p>
    <w:p>
      <w:pPr>
        <w:spacing w:after="0"/>
        <w:ind w:left="0"/>
        <w:jc w:val="both"/>
      </w:pPr>
      <w:r>
        <w:rPr>
          <w:rFonts w:ascii="Times New Roman"/>
          <w:b w:val="false"/>
          <w:i w:val="false"/>
          <w:color w:val="000000"/>
          <w:sz w:val="28"/>
        </w:rPr>
        <w:t>
      6) систему контроля за деятельностью подразделений, осуществляющих функции по заключению сделок за счет активов клиентов, принятых в инвестиционное управление, и (или) собственных активов и учету активов клиентов, принятых в инвестиционное управление и (или) собственных активов, основанную на разделении функциональных обязанностей по заключению сделок и отражению совершенных операций в учете. Система контроля предусматривает:</w:t>
      </w:r>
    </w:p>
    <w:p>
      <w:pPr>
        <w:spacing w:after="0"/>
        <w:ind w:left="0"/>
        <w:jc w:val="both"/>
      </w:pPr>
      <w:r>
        <w:rPr>
          <w:rFonts w:ascii="Times New Roman"/>
          <w:b w:val="false"/>
          <w:i w:val="false"/>
          <w:color w:val="000000"/>
          <w:sz w:val="28"/>
        </w:rPr>
        <w:t>
      установление функции подразделения, осуществляющего управление рисками, по контролю за соответствием параметров планируемых к заключению сделок лимитам инвестирования;</w:t>
      </w:r>
    </w:p>
    <w:p>
      <w:pPr>
        <w:spacing w:after="0"/>
        <w:ind w:left="0"/>
        <w:jc w:val="both"/>
      </w:pPr>
      <w:r>
        <w:rPr>
          <w:rFonts w:ascii="Times New Roman"/>
          <w:b w:val="false"/>
          <w:i w:val="false"/>
          <w:color w:val="000000"/>
          <w:sz w:val="28"/>
        </w:rPr>
        <w:t>
      установление функции подразделения, осуществляющего функции правового обеспечения, по правовой экспертизе проектов договоров по заключаемым сделкам;</w:t>
      </w:r>
    </w:p>
    <w:p>
      <w:pPr>
        <w:spacing w:after="0"/>
        <w:ind w:left="0"/>
        <w:jc w:val="both"/>
      </w:pPr>
      <w:r>
        <w:rPr>
          <w:rFonts w:ascii="Times New Roman"/>
          <w:b w:val="false"/>
          <w:i w:val="false"/>
          <w:color w:val="000000"/>
          <w:sz w:val="28"/>
        </w:rPr>
        <w:t>
      установление функции подразделения, осуществляющего заключение сделок за счет активов клиентов, принятых в инвестиционное управление, и (или) собственных активов, по заключению сделок исключительно в соответствии с параметрами, указанными в инвестиционном решении;</w:t>
      </w:r>
    </w:p>
    <w:p>
      <w:pPr>
        <w:spacing w:after="0"/>
        <w:ind w:left="0"/>
        <w:jc w:val="both"/>
      </w:pPr>
      <w:r>
        <w:rPr>
          <w:rFonts w:ascii="Times New Roman"/>
          <w:b w:val="false"/>
          <w:i w:val="false"/>
          <w:color w:val="000000"/>
          <w:sz w:val="28"/>
        </w:rPr>
        <w:t>
      установление функции подразделения, осуществляющего учет финансовых инструментов, приобретенных за счет активов клиентов, принятых в инвестиционное управление, и (или) собственных активов, по контролю за соответствием параметров исполненных сделок условиям инвестиционного решения о заключении сделок за счет собственных средств и активов клиентов, принятых в инвестиционное управление;</w:t>
      </w:r>
    </w:p>
    <w:p>
      <w:pPr>
        <w:spacing w:after="0"/>
        <w:ind w:left="0"/>
        <w:jc w:val="both"/>
      </w:pPr>
      <w:r>
        <w:rPr>
          <w:rFonts w:ascii="Times New Roman"/>
          <w:b w:val="false"/>
          <w:i w:val="false"/>
          <w:color w:val="000000"/>
          <w:sz w:val="28"/>
        </w:rPr>
        <w:t>
      установление функции подразделения, осуществляющего учет финансовых инструментов, приобретенных за счет активов клиентов, принятых в инвестиционное управление, по контролю за предотвращением случаев неправомерного использования активов клиентов;</w:t>
      </w:r>
    </w:p>
    <w:p>
      <w:pPr>
        <w:spacing w:after="0"/>
        <w:ind w:left="0"/>
        <w:jc w:val="both"/>
      </w:pPr>
      <w:r>
        <w:rPr>
          <w:rFonts w:ascii="Times New Roman"/>
          <w:b w:val="false"/>
          <w:i w:val="false"/>
          <w:color w:val="000000"/>
          <w:sz w:val="28"/>
        </w:rPr>
        <w:t>
      наличие мер, ограничивающих возможность сговора между участниками системы контроля.</w:t>
      </w:r>
    </w:p>
    <w:bookmarkStart w:name="z69" w:id="101"/>
    <w:p>
      <w:pPr>
        <w:spacing w:after="0"/>
        <w:ind w:left="0"/>
        <w:jc w:val="both"/>
      </w:pPr>
      <w:r>
        <w:rPr>
          <w:rFonts w:ascii="Times New Roman"/>
          <w:b w:val="false"/>
          <w:i w:val="false"/>
          <w:color w:val="000000"/>
          <w:sz w:val="28"/>
        </w:rPr>
        <w:t xml:space="preserve">
      26. Политика по управлению рисками брокера и (или) дилера, в дополнение к перечню сведений, установленных </w:t>
      </w:r>
      <w:r>
        <w:rPr>
          <w:rFonts w:ascii="Times New Roman"/>
          <w:b w:val="false"/>
          <w:i w:val="false"/>
          <w:color w:val="000000"/>
          <w:sz w:val="28"/>
        </w:rPr>
        <w:t>пунктом 24</w:t>
      </w:r>
      <w:r>
        <w:rPr>
          <w:rFonts w:ascii="Times New Roman"/>
          <w:b w:val="false"/>
          <w:i w:val="false"/>
          <w:color w:val="000000"/>
          <w:sz w:val="28"/>
        </w:rPr>
        <w:t xml:space="preserve"> Правил, определяет систему контроля за деятельностью подразделений, осуществляющих функции по заключению сделок с финансовыми инструментами, которая предусматривает:</w:t>
      </w:r>
    </w:p>
    <w:bookmarkEnd w:id="101"/>
    <w:p>
      <w:pPr>
        <w:spacing w:after="0"/>
        <w:ind w:left="0"/>
        <w:jc w:val="both"/>
      </w:pPr>
      <w:r>
        <w:rPr>
          <w:rFonts w:ascii="Times New Roman"/>
          <w:b w:val="false"/>
          <w:i w:val="false"/>
          <w:color w:val="000000"/>
          <w:sz w:val="28"/>
        </w:rPr>
        <w:t>
      установление функции подразделения, осуществляющего функции правового обеспечения, по правовой экспертизе проектов договоров по заключаемым сделкам;</w:t>
      </w:r>
    </w:p>
    <w:p>
      <w:pPr>
        <w:spacing w:after="0"/>
        <w:ind w:left="0"/>
        <w:jc w:val="both"/>
      </w:pPr>
      <w:r>
        <w:rPr>
          <w:rFonts w:ascii="Times New Roman"/>
          <w:b w:val="false"/>
          <w:i w:val="false"/>
          <w:color w:val="000000"/>
          <w:sz w:val="28"/>
        </w:rPr>
        <w:t>
      установление функции подразделения, осуществляющего заключение сделок с финансовыми инструментами за счет активов клиентов и (или) собственных активов, по заключению сделок в соответствии с параметрами, указанными в приказе клиента и (или) решении о заключении сделок с финансовыми инструментами за счет собственных средств и активов клиентов, принятых в инвестиционное управление;</w:t>
      </w:r>
    </w:p>
    <w:p>
      <w:pPr>
        <w:spacing w:after="0"/>
        <w:ind w:left="0"/>
        <w:jc w:val="both"/>
      </w:pPr>
      <w:r>
        <w:rPr>
          <w:rFonts w:ascii="Times New Roman"/>
          <w:b w:val="false"/>
          <w:i w:val="false"/>
          <w:color w:val="000000"/>
          <w:sz w:val="28"/>
        </w:rPr>
        <w:t>
      определение порядка осуществления двойного контроля правильности совершения операций по купле-продаже финансовых инструментов, основанного на разделении функциональных обязанностей, в частности между подразделением, которое заключает сделки с финансовыми инструментами, и подразделением, которое занимается отражением указанных операций в учете.</w:t>
      </w:r>
    </w:p>
    <w:p>
      <w:pPr>
        <w:spacing w:after="0"/>
        <w:ind w:left="0"/>
        <w:jc w:val="both"/>
      </w:pPr>
      <w:r>
        <w:rPr>
          <w:rFonts w:ascii="Times New Roman"/>
          <w:b w:val="false"/>
          <w:i w:val="false"/>
          <w:color w:val="000000"/>
          <w:sz w:val="28"/>
        </w:rPr>
        <w:t>
      Система двойного контроля предусматривает:</w:t>
      </w:r>
    </w:p>
    <w:p>
      <w:pPr>
        <w:spacing w:after="0"/>
        <w:ind w:left="0"/>
        <w:jc w:val="both"/>
      </w:pPr>
      <w:r>
        <w:rPr>
          <w:rFonts w:ascii="Times New Roman"/>
          <w:b w:val="false"/>
          <w:i w:val="false"/>
          <w:color w:val="000000"/>
          <w:sz w:val="28"/>
        </w:rPr>
        <w:t>
      установление функции подразделения, осуществляющего отражение операций с финансовыми инструментами в учете, по контролю за соответствием параметров исполненных сделок условиям, указанным в приказе клиента и (или) решении о заключении сделок с финансовыми инструментами за счет собственных средств и активов клиентов, принятых в инвестиционное управление;</w:t>
      </w:r>
    </w:p>
    <w:p>
      <w:pPr>
        <w:spacing w:after="0"/>
        <w:ind w:left="0"/>
        <w:jc w:val="both"/>
      </w:pPr>
      <w:r>
        <w:rPr>
          <w:rFonts w:ascii="Times New Roman"/>
          <w:b w:val="false"/>
          <w:i w:val="false"/>
          <w:color w:val="000000"/>
          <w:sz w:val="28"/>
        </w:rPr>
        <w:t>
      установление функции подразделения, осуществляющего отражение операций с финансовыми инструментами в учете, по контролю за предотвращением случаев неправомерного использования активов клиентов;</w:t>
      </w:r>
    </w:p>
    <w:p>
      <w:pPr>
        <w:spacing w:after="0"/>
        <w:ind w:left="0"/>
        <w:jc w:val="both"/>
      </w:pPr>
      <w:r>
        <w:rPr>
          <w:rFonts w:ascii="Times New Roman"/>
          <w:b w:val="false"/>
          <w:i w:val="false"/>
          <w:color w:val="000000"/>
          <w:sz w:val="28"/>
        </w:rPr>
        <w:t>
      меры ограничения возможного сговора между участниками системы двойного контроля;</w:t>
      </w:r>
    </w:p>
    <w:p>
      <w:pPr>
        <w:spacing w:after="0"/>
        <w:ind w:left="0"/>
        <w:jc w:val="both"/>
      </w:pPr>
      <w:r>
        <w:rPr>
          <w:rFonts w:ascii="Times New Roman"/>
          <w:b w:val="false"/>
          <w:i w:val="false"/>
          <w:color w:val="000000"/>
          <w:sz w:val="28"/>
        </w:rPr>
        <w:t>
      запрет на исполнение одним и тем же лицом обязанностей одновременно в подразделении, которое заключает сделки с финансовыми инструментами, и подразделении, которое занимается отражением указанных операций в учете.</w:t>
      </w:r>
    </w:p>
    <w:bookmarkStart w:name="z70" w:id="102"/>
    <w:p>
      <w:pPr>
        <w:spacing w:after="0"/>
        <w:ind w:left="0"/>
        <w:jc w:val="both"/>
      </w:pPr>
      <w:r>
        <w:rPr>
          <w:rFonts w:ascii="Times New Roman"/>
          <w:b w:val="false"/>
          <w:i w:val="false"/>
          <w:color w:val="000000"/>
          <w:sz w:val="28"/>
        </w:rPr>
        <w:t xml:space="preserve">
      27. Политика по управлению рисками организации, совмещающей брокерскую и (или) дилерскую деятельность с деятельностью по управлению инвестиционным портфелем, в дополнение к перечню сведений, установленных </w:t>
      </w:r>
      <w:r>
        <w:rPr>
          <w:rFonts w:ascii="Times New Roman"/>
          <w:b w:val="false"/>
          <w:i w:val="false"/>
          <w:color w:val="000000"/>
          <w:sz w:val="28"/>
        </w:rPr>
        <w:t>пунктом 24</w:t>
      </w:r>
      <w:r>
        <w:rPr>
          <w:rFonts w:ascii="Times New Roman"/>
          <w:b w:val="false"/>
          <w:i w:val="false"/>
          <w:color w:val="000000"/>
          <w:sz w:val="28"/>
        </w:rPr>
        <w:t xml:space="preserve"> Правил, также определяет процедуры, установленные </w:t>
      </w:r>
      <w:r>
        <w:rPr>
          <w:rFonts w:ascii="Times New Roman"/>
          <w:b w:val="false"/>
          <w:i w:val="false"/>
          <w:color w:val="000000"/>
          <w:sz w:val="28"/>
        </w:rPr>
        <w:t>пунктами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Правил.</w:t>
      </w:r>
    </w:p>
    <w:bookmarkEnd w:id="102"/>
    <w:bookmarkStart w:name="z71" w:id="103"/>
    <w:p>
      <w:pPr>
        <w:spacing w:after="0"/>
        <w:ind w:left="0"/>
        <w:jc w:val="both"/>
      </w:pPr>
      <w:r>
        <w:rPr>
          <w:rFonts w:ascii="Times New Roman"/>
          <w:b w:val="false"/>
          <w:i w:val="false"/>
          <w:color w:val="000000"/>
          <w:sz w:val="28"/>
        </w:rPr>
        <w:t>
      28. Процедуры осуществления анализа и мониторинга контрпартнеров и клиентов брокера и (или) дилера, Управляющего определяют комплекс мер, направленных на проведение брокером и (или) дилером, Управляющим комплексной проверки контрпартнеров и клиентов до установления деловых отношений (до заключения договора) и в процессе дальнейшего взаимодействия с ними для получения информации о каждом контрпартнере и клиенте в целях идентификации потенциальных угроз.</w:t>
      </w:r>
    </w:p>
    <w:bookmarkEnd w:id="103"/>
    <w:p>
      <w:pPr>
        <w:spacing w:after="0"/>
        <w:ind w:left="0"/>
        <w:jc w:val="both"/>
      </w:pPr>
      <w:r>
        <w:rPr>
          <w:rFonts w:ascii="Times New Roman"/>
          <w:b w:val="false"/>
          <w:i w:val="false"/>
          <w:color w:val="000000"/>
          <w:sz w:val="28"/>
        </w:rPr>
        <w:t>
      Комплексная проверка брокера и (или) дилера, Управляющего своих контрпартнеров и клиентов включает осуществление следующих мер:</w:t>
      </w:r>
    </w:p>
    <w:p>
      <w:pPr>
        <w:spacing w:after="0"/>
        <w:ind w:left="0"/>
        <w:jc w:val="both"/>
      </w:pPr>
      <w:r>
        <w:rPr>
          <w:rFonts w:ascii="Times New Roman"/>
          <w:b w:val="false"/>
          <w:i w:val="false"/>
          <w:color w:val="000000"/>
          <w:sz w:val="28"/>
        </w:rPr>
        <w:t>
      установление предполагаемой цели и характера деловых отношений;</w:t>
      </w:r>
    </w:p>
    <w:p>
      <w:pPr>
        <w:spacing w:after="0"/>
        <w:ind w:left="0"/>
        <w:jc w:val="both"/>
      </w:pPr>
      <w:r>
        <w:rPr>
          <w:rFonts w:ascii="Times New Roman"/>
          <w:b w:val="false"/>
          <w:i w:val="false"/>
          <w:color w:val="000000"/>
          <w:sz w:val="28"/>
        </w:rPr>
        <w:t>
      фиксирование сведений, необходимых для идентификации лица, являющегося потенциальным или фактическим контрпартнером или клиентом;</w:t>
      </w:r>
    </w:p>
    <w:p>
      <w:pPr>
        <w:spacing w:after="0"/>
        <w:ind w:left="0"/>
        <w:jc w:val="both"/>
      </w:pPr>
      <w:r>
        <w:rPr>
          <w:rFonts w:ascii="Times New Roman"/>
          <w:b w:val="false"/>
          <w:i w:val="false"/>
          <w:color w:val="000000"/>
          <w:sz w:val="28"/>
        </w:rPr>
        <w:t>
      проведение мониторинга платежеспособности контрпартнера в целях определения его способности отвечать по своим обязательствам перед брокером и (или) дилером или Управляющим, являющимся брокером и (или) дилером;</w:t>
      </w:r>
    </w:p>
    <w:p>
      <w:pPr>
        <w:spacing w:after="0"/>
        <w:ind w:left="0"/>
        <w:jc w:val="both"/>
      </w:pPr>
      <w:r>
        <w:rPr>
          <w:rFonts w:ascii="Times New Roman"/>
          <w:b w:val="false"/>
          <w:i w:val="false"/>
          <w:color w:val="000000"/>
          <w:sz w:val="28"/>
        </w:rPr>
        <w:t>
      проведения мониторинга и анализа финансового состояния клиентов, заключивших договор на брокерское обслуживание;</w:t>
      </w:r>
    </w:p>
    <w:p>
      <w:pPr>
        <w:spacing w:after="0"/>
        <w:ind w:left="0"/>
        <w:jc w:val="both"/>
      </w:pPr>
      <w:r>
        <w:rPr>
          <w:rFonts w:ascii="Times New Roman"/>
          <w:b w:val="false"/>
          <w:i w:val="false"/>
          <w:color w:val="000000"/>
          <w:sz w:val="28"/>
        </w:rPr>
        <w:t>
      ранжирования клиентов, заключивших договор на брокерское обслуживание, в разрезе категорий, предусматривающих определение степени надежности (платежеспособности) клиентов;</w:t>
      </w:r>
    </w:p>
    <w:p>
      <w:pPr>
        <w:spacing w:after="0"/>
        <w:ind w:left="0"/>
        <w:jc w:val="both"/>
      </w:pPr>
      <w:r>
        <w:rPr>
          <w:rFonts w:ascii="Times New Roman"/>
          <w:b w:val="false"/>
          <w:i w:val="false"/>
          <w:color w:val="000000"/>
          <w:sz w:val="28"/>
        </w:rPr>
        <w:t>
      ограничение возможности заключения сделок за счет клиентских активов, в случае наличия риска неплатежеспособности со стороны клиентов посредством установления лимитов на одного клиента по объему сделок, повышения ограничительного уровня маржи в отношении клиентов, установления требования к полному или частичному преддепонированию ценных бумаг и (или) денег клиентов на лицевых и (или) банковских счетах или осуществления иных действий, предусмотренных договором на брокерское обслуживание.</w:t>
      </w:r>
    </w:p>
    <w:bookmarkStart w:name="z72" w:id="104"/>
    <w:p>
      <w:pPr>
        <w:spacing w:after="0"/>
        <w:ind w:left="0"/>
        <w:jc w:val="both"/>
      </w:pPr>
      <w:r>
        <w:rPr>
          <w:rFonts w:ascii="Times New Roman"/>
          <w:b w:val="false"/>
          <w:i w:val="false"/>
          <w:color w:val="000000"/>
          <w:sz w:val="28"/>
        </w:rPr>
        <w:t>
      29. Порядок оценки финансового состояния и ранжирования клиентов разрабатывается брокером и (или) дилером или Управляющим, являющимся брокером и (или) дилером, в целях своевременного выявления рисков неплатежеспособности и включает в себя:</w:t>
      </w:r>
    </w:p>
    <w:bookmarkEnd w:id="104"/>
    <w:p>
      <w:pPr>
        <w:spacing w:after="0"/>
        <w:ind w:left="0"/>
        <w:jc w:val="both"/>
      </w:pPr>
      <w:r>
        <w:rPr>
          <w:rFonts w:ascii="Times New Roman"/>
          <w:b w:val="false"/>
          <w:i w:val="false"/>
          <w:color w:val="000000"/>
          <w:sz w:val="28"/>
        </w:rPr>
        <w:t xml:space="preserve">
      1) перечень информации и показателей, используемых для оценки финансового состояния клиентов, в том числе указанных в </w:t>
      </w:r>
      <w:r>
        <w:rPr>
          <w:rFonts w:ascii="Times New Roman"/>
          <w:b w:val="false"/>
          <w:i w:val="false"/>
          <w:color w:val="000000"/>
          <w:sz w:val="28"/>
        </w:rPr>
        <w:t>пункте 71</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2) методику оценки финансового состояния клиентов;</w:t>
      </w:r>
    </w:p>
    <w:p>
      <w:pPr>
        <w:spacing w:after="0"/>
        <w:ind w:left="0"/>
        <w:jc w:val="both"/>
      </w:pPr>
      <w:r>
        <w:rPr>
          <w:rFonts w:ascii="Times New Roman"/>
          <w:b w:val="false"/>
          <w:i w:val="false"/>
          <w:color w:val="000000"/>
          <w:sz w:val="28"/>
        </w:rPr>
        <w:t>
      3) методику ранжирования клиентов в разрезе категорий, предусматривающих определение степени надежности (платежеспособности) клиентов, начиная с категории клиентов с высокой степенью надежности (платежеспособности) и заканчивая категорией клиентов с низкой степенью надежности (платежеспособности);</w:t>
      </w:r>
    </w:p>
    <w:p>
      <w:pPr>
        <w:spacing w:after="0"/>
        <w:ind w:left="0"/>
        <w:jc w:val="both"/>
      </w:pPr>
      <w:r>
        <w:rPr>
          <w:rFonts w:ascii="Times New Roman"/>
          <w:b w:val="false"/>
          <w:i w:val="false"/>
          <w:color w:val="000000"/>
          <w:sz w:val="28"/>
        </w:rPr>
        <w:t>
      4) порядок и периодичность представления (но не реже одного раза в год) отчетов исполнительному органу брокера и (или) дилера или Управляющего, являющегося брокером и (или) дилером, о результатах оценки финансового состояния и ранжирования клиентов.</w:t>
      </w:r>
    </w:p>
    <w:bookmarkStart w:name="z73" w:id="105"/>
    <w:p>
      <w:pPr>
        <w:spacing w:after="0"/>
        <w:ind w:left="0"/>
        <w:jc w:val="both"/>
      </w:pPr>
      <w:r>
        <w:rPr>
          <w:rFonts w:ascii="Times New Roman"/>
          <w:b w:val="false"/>
          <w:i w:val="false"/>
          <w:color w:val="000000"/>
          <w:sz w:val="28"/>
        </w:rPr>
        <w:t>
      30. Порядок и условия ограничения рисков неплатежеспособности, брокером и (или) дилером или Управляющим, являющимся брокером и (или) дилером включают в себя:</w:t>
      </w:r>
    </w:p>
    <w:bookmarkEnd w:id="105"/>
    <w:p>
      <w:pPr>
        <w:spacing w:after="0"/>
        <w:ind w:left="0"/>
        <w:jc w:val="both"/>
      </w:pPr>
      <w:r>
        <w:rPr>
          <w:rFonts w:ascii="Times New Roman"/>
          <w:b w:val="false"/>
          <w:i w:val="false"/>
          <w:color w:val="000000"/>
          <w:sz w:val="28"/>
        </w:rPr>
        <w:t>
      1) перечень лимитов, ограничений и запретов, предусмотренных в целях ограничения рисков неплатежеспособности, включающих, но не ограничивающихся:</w:t>
      </w:r>
    </w:p>
    <w:p>
      <w:pPr>
        <w:spacing w:after="0"/>
        <w:ind w:left="0"/>
        <w:jc w:val="both"/>
      </w:pPr>
      <w:r>
        <w:rPr>
          <w:rFonts w:ascii="Times New Roman"/>
          <w:b w:val="false"/>
          <w:i w:val="false"/>
          <w:color w:val="000000"/>
          <w:sz w:val="28"/>
        </w:rPr>
        <w:t>
      лимиты на одного клиента по объему сделок;</w:t>
      </w:r>
    </w:p>
    <w:p>
      <w:pPr>
        <w:spacing w:after="0"/>
        <w:ind w:left="0"/>
        <w:jc w:val="both"/>
      </w:pPr>
      <w:r>
        <w:rPr>
          <w:rFonts w:ascii="Times New Roman"/>
          <w:b w:val="false"/>
          <w:i w:val="false"/>
          <w:color w:val="000000"/>
          <w:sz w:val="28"/>
        </w:rPr>
        <w:t>
      полное или частичное преддепонирование ценных бумаг и (или) денег клиентов на лицевых и (или) банковских счетах;</w:t>
      </w:r>
    </w:p>
    <w:p>
      <w:pPr>
        <w:spacing w:after="0"/>
        <w:ind w:left="0"/>
        <w:jc w:val="both"/>
      </w:pPr>
      <w:r>
        <w:rPr>
          <w:rFonts w:ascii="Times New Roman"/>
          <w:b w:val="false"/>
          <w:i w:val="false"/>
          <w:color w:val="000000"/>
          <w:sz w:val="28"/>
        </w:rPr>
        <w:t>
      2) порядок и условия применения ограничений, предусмотренных подпунктом 1) настоящего пункта, в отношении клиентов.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106"/>
    <w:p>
      <w:pPr>
        <w:spacing w:after="0"/>
        <w:ind w:left="0"/>
        <w:jc w:val="both"/>
      </w:pPr>
      <w:r>
        <w:rPr>
          <w:rFonts w:ascii="Times New Roman"/>
          <w:b w:val="false"/>
          <w:i w:val="false"/>
          <w:color w:val="000000"/>
          <w:sz w:val="28"/>
        </w:rPr>
        <w:t>
      30-1. Порядок совершения маржинальных сделок разрабатывается брокером и (или) дилером или Управляющим, являющимся брокером и (или) дилером, и определяет:</w:t>
      </w:r>
    </w:p>
    <w:bookmarkEnd w:id="106"/>
    <w:bookmarkStart w:name="z459" w:id="107"/>
    <w:p>
      <w:pPr>
        <w:spacing w:after="0"/>
        <w:ind w:left="0"/>
        <w:jc w:val="both"/>
      </w:pPr>
      <w:r>
        <w:rPr>
          <w:rFonts w:ascii="Times New Roman"/>
          <w:b w:val="false"/>
          <w:i w:val="false"/>
          <w:color w:val="000000"/>
          <w:sz w:val="28"/>
        </w:rPr>
        <w:t>
      1) порядок и условия исполнения поручений клиента на заключение маржинальных сделок;</w:t>
      </w:r>
    </w:p>
    <w:bookmarkEnd w:id="107"/>
    <w:bookmarkStart w:name="z460" w:id="108"/>
    <w:p>
      <w:pPr>
        <w:spacing w:after="0"/>
        <w:ind w:left="0"/>
        <w:jc w:val="both"/>
      </w:pPr>
      <w:r>
        <w:rPr>
          <w:rFonts w:ascii="Times New Roman"/>
          <w:b w:val="false"/>
          <w:i w:val="false"/>
          <w:color w:val="000000"/>
          <w:sz w:val="28"/>
        </w:rPr>
        <w:t>
      2) порядок расчета и значения ограничительного уровня маржи в отношении каждой категории клиентов, видов финансовых инструментов, являющихся предметом маржинальных сделок, и рынков, на которых заключается маржинальная сделка;</w:t>
      </w:r>
    </w:p>
    <w:bookmarkEnd w:id="108"/>
    <w:bookmarkStart w:name="z461" w:id="109"/>
    <w:p>
      <w:pPr>
        <w:spacing w:after="0"/>
        <w:ind w:left="0"/>
        <w:jc w:val="both"/>
      </w:pPr>
      <w:r>
        <w:rPr>
          <w:rFonts w:ascii="Times New Roman"/>
          <w:b w:val="false"/>
          <w:i w:val="false"/>
          <w:color w:val="000000"/>
          <w:sz w:val="28"/>
        </w:rPr>
        <w:t>
      3) порядок управления рисками, возникающими при заключении маржинальных сделок;</w:t>
      </w:r>
    </w:p>
    <w:bookmarkEnd w:id="109"/>
    <w:bookmarkStart w:name="z462" w:id="110"/>
    <w:p>
      <w:pPr>
        <w:spacing w:after="0"/>
        <w:ind w:left="0"/>
        <w:jc w:val="both"/>
      </w:pPr>
      <w:r>
        <w:rPr>
          <w:rFonts w:ascii="Times New Roman"/>
          <w:b w:val="false"/>
          <w:i w:val="false"/>
          <w:color w:val="000000"/>
          <w:sz w:val="28"/>
        </w:rPr>
        <w:t>
      4) действия брокера в случае снижения стоимости обеспечения по маржинальной сделке ниже ограничительного и (или) минимально допустимого уровня.</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30-1 в соответствии с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11"/>
    <w:p>
      <w:pPr>
        <w:spacing w:after="0"/>
        <w:ind w:left="0"/>
        <w:jc w:val="both"/>
      </w:pPr>
      <w:r>
        <w:rPr>
          <w:rFonts w:ascii="Times New Roman"/>
          <w:b w:val="false"/>
          <w:i w:val="false"/>
          <w:color w:val="000000"/>
          <w:sz w:val="28"/>
        </w:rPr>
        <w:t>
      31. Правила обеспечения информационной безопасности включают процедуры по обеспечению сохранности сведений, составляющих коммерческую и служебную тайну на рынке ценных бумаг, и недопущению их использования в собственных интересах брокера и (или) дилера, Управляющего, их работников или третьих лиц.</w:t>
      </w:r>
    </w:p>
    <w:bookmarkEnd w:id="111"/>
    <w:p>
      <w:pPr>
        <w:spacing w:after="0"/>
        <w:ind w:left="0"/>
        <w:jc w:val="both"/>
      </w:pPr>
      <w:r>
        <w:rPr>
          <w:rFonts w:ascii="Times New Roman"/>
          <w:b w:val="false"/>
          <w:i w:val="false"/>
          <w:color w:val="000000"/>
          <w:sz w:val="28"/>
        </w:rPr>
        <w:t>
      Правила обеспечения информационной безопасности определяют:</w:t>
      </w:r>
    </w:p>
    <w:p>
      <w:pPr>
        <w:spacing w:after="0"/>
        <w:ind w:left="0"/>
        <w:jc w:val="both"/>
      </w:pPr>
      <w:r>
        <w:rPr>
          <w:rFonts w:ascii="Times New Roman"/>
          <w:b w:val="false"/>
          <w:i w:val="false"/>
          <w:color w:val="000000"/>
          <w:sz w:val="28"/>
        </w:rPr>
        <w:t xml:space="preserve">
      перечень информации, охраняемой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 относящейся к коммерческой тайне;</w:t>
      </w:r>
    </w:p>
    <w:p>
      <w:pPr>
        <w:spacing w:after="0"/>
        <w:ind w:left="0"/>
        <w:jc w:val="both"/>
      </w:pPr>
      <w:r>
        <w:rPr>
          <w:rFonts w:ascii="Times New Roman"/>
          <w:b w:val="false"/>
          <w:i w:val="false"/>
          <w:color w:val="000000"/>
          <w:sz w:val="28"/>
        </w:rPr>
        <w:t>
      порядок составления, оформления, регистрации, учета и хранения документов, содержащих информацию, указанную в абзаце втором части второй настоящего пункта;</w:t>
      </w:r>
    </w:p>
    <w:p>
      <w:pPr>
        <w:spacing w:after="0"/>
        <w:ind w:left="0"/>
        <w:jc w:val="both"/>
      </w:pPr>
      <w:r>
        <w:rPr>
          <w:rFonts w:ascii="Times New Roman"/>
          <w:b w:val="false"/>
          <w:i w:val="false"/>
          <w:color w:val="000000"/>
          <w:sz w:val="28"/>
        </w:rPr>
        <w:t>
      порядок допуска к информации, указанной в абзаце втором части второй настоящего пункта, с указанием должностей лиц, которые допускаются к данной информации;</w:t>
      </w:r>
    </w:p>
    <w:p>
      <w:pPr>
        <w:spacing w:after="0"/>
        <w:ind w:left="0"/>
        <w:jc w:val="both"/>
      </w:pPr>
      <w:r>
        <w:rPr>
          <w:rFonts w:ascii="Times New Roman"/>
          <w:b w:val="false"/>
          <w:i w:val="false"/>
          <w:color w:val="000000"/>
          <w:sz w:val="28"/>
        </w:rPr>
        <w:t>
      механизмы предотвращения утечки информации, указанной в абзаце втором части второй настоящего пункта, и искажения информационных данных, предусматривающие:</w:t>
      </w:r>
    </w:p>
    <w:p>
      <w:pPr>
        <w:spacing w:after="0"/>
        <w:ind w:left="0"/>
        <w:jc w:val="both"/>
      </w:pPr>
      <w:r>
        <w:rPr>
          <w:rFonts w:ascii="Times New Roman"/>
          <w:b w:val="false"/>
          <w:i w:val="false"/>
          <w:color w:val="000000"/>
          <w:sz w:val="28"/>
        </w:rPr>
        <w:t>
      перечень информационных данных, имеющих ограниченный доступ;</w:t>
      </w:r>
    </w:p>
    <w:p>
      <w:pPr>
        <w:spacing w:after="0"/>
        <w:ind w:left="0"/>
        <w:jc w:val="both"/>
      </w:pPr>
      <w:r>
        <w:rPr>
          <w:rFonts w:ascii="Times New Roman"/>
          <w:b w:val="false"/>
          <w:i w:val="false"/>
          <w:color w:val="000000"/>
          <w:sz w:val="28"/>
        </w:rPr>
        <w:t>
      порядок получения доступа;</w:t>
      </w:r>
    </w:p>
    <w:p>
      <w:pPr>
        <w:spacing w:after="0"/>
        <w:ind w:left="0"/>
        <w:jc w:val="both"/>
      </w:pPr>
      <w:r>
        <w:rPr>
          <w:rFonts w:ascii="Times New Roman"/>
          <w:b w:val="false"/>
          <w:i w:val="false"/>
          <w:color w:val="000000"/>
          <w:sz w:val="28"/>
        </w:rPr>
        <w:t>
      порядок контроля доступа к информационным данным, перечня должностей лиц, имеющих доступ к информационным данным;</w:t>
      </w:r>
    </w:p>
    <w:p>
      <w:pPr>
        <w:spacing w:after="0"/>
        <w:ind w:left="0"/>
        <w:jc w:val="both"/>
      </w:pPr>
      <w:r>
        <w:rPr>
          <w:rFonts w:ascii="Times New Roman"/>
          <w:b w:val="false"/>
          <w:i w:val="false"/>
          <w:color w:val="000000"/>
          <w:sz w:val="28"/>
        </w:rPr>
        <w:t>
      мероприятия по предотвращению несанкционированного использования терминалов управления автоматизированной базой данных посредством осуществления подразделением информационного обеспечения мониторинга и идентификации пользователей терминалов управления автоматизированной базой данных и обеспечения системой, позволяющей идентифицировать личность пользователя.</w:t>
      </w:r>
    </w:p>
    <w:bookmarkStart w:name="z75" w:id="112"/>
    <w:p>
      <w:pPr>
        <w:spacing w:after="0"/>
        <w:ind w:left="0"/>
        <w:jc w:val="both"/>
      </w:pPr>
      <w:r>
        <w:rPr>
          <w:rFonts w:ascii="Times New Roman"/>
          <w:b w:val="false"/>
          <w:i w:val="false"/>
          <w:color w:val="000000"/>
          <w:sz w:val="28"/>
        </w:rPr>
        <w:t>
      32. Правила расчета и начисления вознаграждения за оказание брокером и (или) дилером, Управляющим финансовых услуг, определяют:</w:t>
      </w:r>
    </w:p>
    <w:bookmarkEnd w:id="112"/>
    <w:p>
      <w:pPr>
        <w:spacing w:after="0"/>
        <w:ind w:left="0"/>
        <w:jc w:val="both"/>
      </w:pPr>
      <w:r>
        <w:rPr>
          <w:rFonts w:ascii="Times New Roman"/>
          <w:b w:val="false"/>
          <w:i w:val="false"/>
          <w:color w:val="000000"/>
          <w:sz w:val="28"/>
        </w:rPr>
        <w:t>
      1) предельные величины вознаграждения брокера и (или) дилера, Управляющего;</w:t>
      </w:r>
    </w:p>
    <w:p>
      <w:pPr>
        <w:spacing w:after="0"/>
        <w:ind w:left="0"/>
        <w:jc w:val="both"/>
      </w:pPr>
      <w:r>
        <w:rPr>
          <w:rFonts w:ascii="Times New Roman"/>
          <w:b w:val="false"/>
          <w:i w:val="false"/>
          <w:color w:val="000000"/>
          <w:sz w:val="28"/>
        </w:rPr>
        <w:t>
      2) порядок и частоту изменения величины вознаграждения;</w:t>
      </w:r>
    </w:p>
    <w:p>
      <w:pPr>
        <w:spacing w:after="0"/>
        <w:ind w:left="0"/>
        <w:jc w:val="both"/>
      </w:pPr>
      <w:r>
        <w:rPr>
          <w:rFonts w:ascii="Times New Roman"/>
          <w:b w:val="false"/>
          <w:i w:val="false"/>
          <w:color w:val="000000"/>
          <w:sz w:val="28"/>
        </w:rPr>
        <w:t>
      3) порядок начисления вознаграждения;</w:t>
      </w:r>
    </w:p>
    <w:p>
      <w:pPr>
        <w:spacing w:after="0"/>
        <w:ind w:left="0"/>
        <w:jc w:val="both"/>
      </w:pPr>
      <w:r>
        <w:rPr>
          <w:rFonts w:ascii="Times New Roman"/>
          <w:b w:val="false"/>
          <w:i w:val="false"/>
          <w:color w:val="000000"/>
          <w:sz w:val="28"/>
        </w:rPr>
        <w:t>
      4) условия введения ограничений на размеры вознаграждений, получаемых брокером и (или) дилером, Управляющим в соответствии с договором, заключенным с клиентом.</w:t>
      </w:r>
    </w:p>
    <w:bookmarkStart w:name="z76" w:id="113"/>
    <w:p>
      <w:pPr>
        <w:spacing w:after="0"/>
        <w:ind w:left="0"/>
        <w:jc w:val="both"/>
      </w:pPr>
      <w:r>
        <w:rPr>
          <w:rFonts w:ascii="Times New Roman"/>
          <w:b w:val="false"/>
          <w:i w:val="false"/>
          <w:color w:val="000000"/>
          <w:sz w:val="28"/>
        </w:rPr>
        <w:t>
      33. Процедуры осуществления внутреннего аудита и внутреннего контроля определяют:</w:t>
      </w:r>
    </w:p>
    <w:bookmarkEnd w:id="113"/>
    <w:p>
      <w:pPr>
        <w:spacing w:after="0"/>
        <w:ind w:left="0"/>
        <w:jc w:val="both"/>
      </w:pPr>
      <w:r>
        <w:rPr>
          <w:rFonts w:ascii="Times New Roman"/>
          <w:b w:val="false"/>
          <w:i w:val="false"/>
          <w:color w:val="000000"/>
          <w:sz w:val="28"/>
        </w:rPr>
        <w:t>
      1) состав службы внутреннего аудита, ее функции, обязанности и полномочия;</w:t>
      </w:r>
    </w:p>
    <w:p>
      <w:pPr>
        <w:spacing w:after="0"/>
        <w:ind w:left="0"/>
        <w:jc w:val="both"/>
      </w:pPr>
      <w:r>
        <w:rPr>
          <w:rFonts w:ascii="Times New Roman"/>
          <w:b w:val="false"/>
          <w:i w:val="false"/>
          <w:color w:val="000000"/>
          <w:sz w:val="28"/>
        </w:rPr>
        <w:t>
      2) требования к работникам, осуществляющим внутренний аудит и внутренний контроль;</w:t>
      </w:r>
    </w:p>
    <w:p>
      <w:pPr>
        <w:spacing w:after="0"/>
        <w:ind w:left="0"/>
        <w:jc w:val="both"/>
      </w:pPr>
      <w:r>
        <w:rPr>
          <w:rFonts w:ascii="Times New Roman"/>
          <w:b w:val="false"/>
          <w:i w:val="false"/>
          <w:color w:val="000000"/>
          <w:sz w:val="28"/>
        </w:rPr>
        <w:t>
      3) предмет и объект внутреннего аудита и внутреннего контроля;</w:t>
      </w:r>
    </w:p>
    <w:p>
      <w:pPr>
        <w:spacing w:after="0"/>
        <w:ind w:left="0"/>
        <w:jc w:val="both"/>
      </w:pPr>
      <w:r>
        <w:rPr>
          <w:rFonts w:ascii="Times New Roman"/>
          <w:b w:val="false"/>
          <w:i w:val="false"/>
          <w:color w:val="000000"/>
          <w:sz w:val="28"/>
        </w:rPr>
        <w:t>
      4) масштаб и частоту проведения проверок службой внутреннего аудита;</w:t>
      </w:r>
    </w:p>
    <w:p>
      <w:pPr>
        <w:spacing w:after="0"/>
        <w:ind w:left="0"/>
        <w:jc w:val="both"/>
      </w:pPr>
      <w:r>
        <w:rPr>
          <w:rFonts w:ascii="Times New Roman"/>
          <w:b w:val="false"/>
          <w:i w:val="false"/>
          <w:color w:val="000000"/>
          <w:sz w:val="28"/>
        </w:rPr>
        <w:t>
      5) обязательную к использованию при проведении внутреннего аудита систему оценки;</w:t>
      </w:r>
    </w:p>
    <w:p>
      <w:pPr>
        <w:spacing w:after="0"/>
        <w:ind w:left="0"/>
        <w:jc w:val="both"/>
      </w:pPr>
      <w:r>
        <w:rPr>
          <w:rFonts w:ascii="Times New Roman"/>
          <w:b w:val="false"/>
          <w:i w:val="false"/>
          <w:color w:val="000000"/>
          <w:sz w:val="28"/>
        </w:rPr>
        <w:t>
      6) требования к составлению плана проведения внутреннего аудита;</w:t>
      </w:r>
    </w:p>
    <w:p>
      <w:pPr>
        <w:spacing w:after="0"/>
        <w:ind w:left="0"/>
        <w:jc w:val="both"/>
      </w:pPr>
      <w:r>
        <w:rPr>
          <w:rFonts w:ascii="Times New Roman"/>
          <w:b w:val="false"/>
          <w:i w:val="false"/>
          <w:color w:val="000000"/>
          <w:sz w:val="28"/>
        </w:rPr>
        <w:t>
      7) сроки и форму представления службой внутреннего аудита отчетов о результатах проверок органу управления (наблюдательному совету) и исполнительному органу брокера и (или) дилера, Управляющего.</w:t>
      </w:r>
    </w:p>
    <w:bookmarkStart w:name="z77" w:id="114"/>
    <w:p>
      <w:pPr>
        <w:spacing w:after="0"/>
        <w:ind w:left="0"/>
        <w:jc w:val="both"/>
      </w:pPr>
      <w:r>
        <w:rPr>
          <w:rFonts w:ascii="Times New Roman"/>
          <w:b w:val="false"/>
          <w:i w:val="false"/>
          <w:color w:val="000000"/>
          <w:sz w:val="28"/>
        </w:rPr>
        <w:t>
      34. Политика управления существующим и потенциальным конфликтом интересов, включает:</w:t>
      </w:r>
    </w:p>
    <w:bookmarkEnd w:id="114"/>
    <w:p>
      <w:pPr>
        <w:spacing w:after="0"/>
        <w:ind w:left="0"/>
        <w:jc w:val="both"/>
      </w:pPr>
      <w:r>
        <w:rPr>
          <w:rFonts w:ascii="Times New Roman"/>
          <w:b w:val="false"/>
          <w:i w:val="false"/>
          <w:color w:val="000000"/>
          <w:sz w:val="28"/>
        </w:rPr>
        <w:t>
      1) определение ситуаций, при которых интересы должностного лица или работника брокера и (или) дилера, Управляющего могут повлиять на объективность и независимость принятия ими решений и исполнения обязанностей, а также вступить в противоречие с их обязательством действовать в интересах клиентов брокера и (или) дилера, Управляющего и (или) акционеров брокера и (или) дилера, Управляющего;</w:t>
      </w:r>
    </w:p>
    <w:p>
      <w:pPr>
        <w:spacing w:after="0"/>
        <w:ind w:left="0"/>
        <w:jc w:val="both"/>
      </w:pPr>
      <w:r>
        <w:rPr>
          <w:rFonts w:ascii="Times New Roman"/>
          <w:b w:val="false"/>
          <w:i w:val="false"/>
          <w:color w:val="000000"/>
          <w:sz w:val="28"/>
        </w:rPr>
        <w:t>
      2) принципы деятельности должностных лиц и работников брокера и (или) дилера, Управляющего при возникновении ситуаций, указанных в подпункте 1) настоящего пункта;</w:t>
      </w:r>
    </w:p>
    <w:p>
      <w:pPr>
        <w:spacing w:after="0"/>
        <w:ind w:left="0"/>
        <w:jc w:val="both"/>
      </w:pPr>
      <w:r>
        <w:rPr>
          <w:rFonts w:ascii="Times New Roman"/>
          <w:b w:val="false"/>
          <w:i w:val="false"/>
          <w:color w:val="000000"/>
          <w:sz w:val="28"/>
        </w:rPr>
        <w:t>
      3) порядок осуществления сбора, хранения и мониторинга сведений в целях выявления и описания ситуаций, указанных в подпункте 1) настоящего пункта, в процессе деятельности органов, подразделений, должностных лиц и работников брокера и (или) дилера, Управляющего;</w:t>
      </w:r>
    </w:p>
    <w:p>
      <w:pPr>
        <w:spacing w:after="0"/>
        <w:ind w:left="0"/>
        <w:jc w:val="both"/>
      </w:pPr>
      <w:r>
        <w:rPr>
          <w:rFonts w:ascii="Times New Roman"/>
          <w:b w:val="false"/>
          <w:i w:val="false"/>
          <w:color w:val="000000"/>
          <w:sz w:val="28"/>
        </w:rPr>
        <w:t>
      4) процедуры принятия решений органами брокера и (или) дилера, Управляющего, направленные на обеспечение независимости и объективности принимаемых решений, включая ограничение права участия в принятии решений должностных лиц и работников брокера и (или) дилера, Управляющего, при возникновении ситуаций, указанных в подпункте 1) настоящего пункта.</w:t>
      </w:r>
    </w:p>
    <w:bookmarkStart w:name="z78" w:id="115"/>
    <w:p>
      <w:pPr>
        <w:spacing w:after="0"/>
        <w:ind w:left="0"/>
        <w:jc w:val="both"/>
      </w:pPr>
      <w:r>
        <w:rPr>
          <w:rFonts w:ascii="Times New Roman"/>
          <w:b w:val="false"/>
          <w:i w:val="false"/>
          <w:color w:val="000000"/>
          <w:sz w:val="28"/>
        </w:rPr>
        <w:t>
      35. Правила ведения журналов учета содержат:</w:t>
      </w:r>
    </w:p>
    <w:bookmarkEnd w:id="115"/>
    <w:p>
      <w:pPr>
        <w:spacing w:after="0"/>
        <w:ind w:left="0"/>
        <w:jc w:val="both"/>
      </w:pPr>
      <w:r>
        <w:rPr>
          <w:rFonts w:ascii="Times New Roman"/>
          <w:b w:val="false"/>
          <w:i w:val="false"/>
          <w:color w:val="000000"/>
          <w:sz w:val="28"/>
        </w:rPr>
        <w:t>
      1) количество и наименование журналов;</w:t>
      </w:r>
    </w:p>
    <w:p>
      <w:pPr>
        <w:spacing w:after="0"/>
        <w:ind w:left="0"/>
        <w:jc w:val="both"/>
      </w:pPr>
      <w:r>
        <w:rPr>
          <w:rFonts w:ascii="Times New Roman"/>
          <w:b w:val="false"/>
          <w:i w:val="false"/>
          <w:color w:val="000000"/>
          <w:sz w:val="28"/>
        </w:rPr>
        <w:t>
      2) порядок и периодичность заполнения журналов;</w:t>
      </w:r>
    </w:p>
    <w:p>
      <w:pPr>
        <w:spacing w:after="0"/>
        <w:ind w:left="0"/>
        <w:jc w:val="both"/>
      </w:pPr>
      <w:r>
        <w:rPr>
          <w:rFonts w:ascii="Times New Roman"/>
          <w:b w:val="false"/>
          <w:i w:val="false"/>
          <w:color w:val="000000"/>
          <w:sz w:val="28"/>
        </w:rPr>
        <w:t>
      3) перечень должностей руководящих работников, осуществляющих контроль за своевременным и точным заполнением журналов.</w:t>
      </w:r>
    </w:p>
    <w:bookmarkStart w:name="z79" w:id="116"/>
    <w:p>
      <w:pPr>
        <w:spacing w:after="0"/>
        <w:ind w:left="0"/>
        <w:jc w:val="both"/>
      </w:pPr>
      <w:r>
        <w:rPr>
          <w:rFonts w:ascii="Times New Roman"/>
          <w:b w:val="false"/>
          <w:i w:val="false"/>
          <w:color w:val="000000"/>
          <w:sz w:val="28"/>
        </w:rPr>
        <w:t>
      36. Инструкция по технике безопасности включает:</w:t>
      </w:r>
    </w:p>
    <w:bookmarkEnd w:id="116"/>
    <w:p>
      <w:pPr>
        <w:spacing w:after="0"/>
        <w:ind w:left="0"/>
        <w:jc w:val="both"/>
      </w:pPr>
      <w:r>
        <w:rPr>
          <w:rFonts w:ascii="Times New Roman"/>
          <w:b w:val="false"/>
          <w:i w:val="false"/>
          <w:color w:val="000000"/>
          <w:sz w:val="28"/>
        </w:rPr>
        <w:t>
      1) основные требования по пожарной безопасности;</w:t>
      </w:r>
    </w:p>
    <w:p>
      <w:pPr>
        <w:spacing w:after="0"/>
        <w:ind w:left="0"/>
        <w:jc w:val="both"/>
      </w:pPr>
      <w:r>
        <w:rPr>
          <w:rFonts w:ascii="Times New Roman"/>
          <w:b w:val="false"/>
          <w:i w:val="false"/>
          <w:color w:val="000000"/>
          <w:sz w:val="28"/>
        </w:rPr>
        <w:t>
      2) описание действий работников брокера и (или) дилера, Управляющего в случае наступления форс-мажорных обстоятельств;</w:t>
      </w:r>
    </w:p>
    <w:p>
      <w:pPr>
        <w:spacing w:after="0"/>
        <w:ind w:left="0"/>
        <w:jc w:val="both"/>
      </w:pPr>
      <w:r>
        <w:rPr>
          <w:rFonts w:ascii="Times New Roman"/>
          <w:b w:val="false"/>
          <w:i w:val="false"/>
          <w:color w:val="000000"/>
          <w:sz w:val="28"/>
        </w:rPr>
        <w:t>
      3) порядок использования программно-технических комплексов и иного оборудования работниками брокера и (или) дилера, Управляющего;</w:t>
      </w:r>
    </w:p>
    <w:p>
      <w:pPr>
        <w:spacing w:after="0"/>
        <w:ind w:left="0"/>
        <w:jc w:val="both"/>
      </w:pPr>
      <w:r>
        <w:rPr>
          <w:rFonts w:ascii="Times New Roman"/>
          <w:b w:val="false"/>
          <w:i w:val="false"/>
          <w:color w:val="000000"/>
          <w:sz w:val="28"/>
        </w:rPr>
        <w:t>
      4) последовательность осмотра помещений брокера и (или) дилера, Управляющего перед их закрытием.</w:t>
      </w:r>
    </w:p>
    <w:bookmarkStart w:name="z80" w:id="117"/>
    <w:p>
      <w:pPr>
        <w:spacing w:after="0"/>
        <w:ind w:left="0"/>
        <w:jc w:val="left"/>
      </w:pPr>
      <w:r>
        <w:rPr>
          <w:rFonts w:ascii="Times New Roman"/>
          <w:b/>
          <w:i w:val="false"/>
          <w:color w:val="000000"/>
        </w:rPr>
        <w:t xml:space="preserve"> Глава 4. Требования к организации деятельности по управлению активами клиентов, принятыми в инвестиционное управление, и собственными активами брокера и (или) дилера и Управляющего</w:t>
      </w:r>
    </w:p>
    <w:bookmarkEnd w:id="117"/>
    <w:p>
      <w:pPr>
        <w:spacing w:after="0"/>
        <w:ind w:left="0"/>
        <w:jc w:val="both"/>
      </w:pPr>
      <w:r>
        <w:rPr>
          <w:rFonts w:ascii="Times New Roman"/>
          <w:b w:val="false"/>
          <w:i w:val="false"/>
          <w:color w:val="ff0000"/>
          <w:sz w:val="28"/>
        </w:rPr>
        <w:t xml:space="preserve">
      Сноска. Заголовок главы 4 -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 w:id="118"/>
    <w:p>
      <w:pPr>
        <w:spacing w:after="0"/>
        <w:ind w:left="0"/>
        <w:jc w:val="both"/>
      </w:pPr>
      <w:r>
        <w:rPr>
          <w:rFonts w:ascii="Times New Roman"/>
          <w:b w:val="false"/>
          <w:i w:val="false"/>
          <w:color w:val="000000"/>
          <w:sz w:val="28"/>
        </w:rPr>
        <w:t>
      37. В целях обеспечения инвестиционного управления активами клиентов, за исключением инвестиционных фондов, договор на управление инвестиционным портфелем или инвестиционная декларация, включает, но не ограничивается следующим:</w:t>
      </w:r>
    </w:p>
    <w:bookmarkEnd w:id="118"/>
    <w:p>
      <w:pPr>
        <w:spacing w:after="0"/>
        <w:ind w:left="0"/>
        <w:jc w:val="both"/>
      </w:pPr>
      <w:r>
        <w:rPr>
          <w:rFonts w:ascii="Times New Roman"/>
          <w:b w:val="false"/>
          <w:i w:val="false"/>
          <w:color w:val="000000"/>
          <w:sz w:val="28"/>
        </w:rPr>
        <w:t>
      1) цели и стратегии инвестирования активов клиентов;</w:t>
      </w:r>
    </w:p>
    <w:p>
      <w:pPr>
        <w:spacing w:after="0"/>
        <w:ind w:left="0"/>
        <w:jc w:val="both"/>
      </w:pPr>
      <w:r>
        <w:rPr>
          <w:rFonts w:ascii="Times New Roman"/>
          <w:b w:val="false"/>
          <w:i w:val="false"/>
          <w:color w:val="000000"/>
          <w:sz w:val="28"/>
        </w:rPr>
        <w:t>
      2) описание и перечень объектов инвестирования;</w:t>
      </w:r>
    </w:p>
    <w:p>
      <w:pPr>
        <w:spacing w:after="0"/>
        <w:ind w:left="0"/>
        <w:jc w:val="both"/>
      </w:pPr>
      <w:r>
        <w:rPr>
          <w:rFonts w:ascii="Times New Roman"/>
          <w:b w:val="false"/>
          <w:i w:val="false"/>
          <w:color w:val="000000"/>
          <w:sz w:val="28"/>
        </w:rPr>
        <w:t>
      3) лимиты инвестирования активов клиентов по видам финансовых инструментов и доле открытой валютной позиции;</w:t>
      </w:r>
    </w:p>
    <w:p>
      <w:pPr>
        <w:spacing w:after="0"/>
        <w:ind w:left="0"/>
        <w:jc w:val="both"/>
      </w:pPr>
      <w:r>
        <w:rPr>
          <w:rFonts w:ascii="Times New Roman"/>
          <w:b w:val="false"/>
          <w:i w:val="false"/>
          <w:color w:val="000000"/>
          <w:sz w:val="28"/>
        </w:rPr>
        <w:t>
      4) условия и ограничения, установленные в отношении инвестиционной деятельности, включая максимальный допустимый размер убытка по активам клиента, принятым в инвестиционное управление;</w:t>
      </w:r>
    </w:p>
    <w:p>
      <w:pPr>
        <w:spacing w:after="0"/>
        <w:ind w:left="0"/>
        <w:jc w:val="both"/>
      </w:pPr>
      <w:r>
        <w:rPr>
          <w:rFonts w:ascii="Times New Roman"/>
          <w:b w:val="false"/>
          <w:i w:val="false"/>
          <w:color w:val="000000"/>
          <w:sz w:val="28"/>
        </w:rPr>
        <w:t>
      5) условия хеджирования и диверсификации активов клиентов с указанием перечня и описания инструментов хеджирования;</w:t>
      </w:r>
    </w:p>
    <w:p>
      <w:pPr>
        <w:spacing w:after="0"/>
        <w:ind w:left="0"/>
        <w:jc w:val="both"/>
      </w:pPr>
      <w:r>
        <w:rPr>
          <w:rFonts w:ascii="Times New Roman"/>
          <w:b w:val="false"/>
          <w:i w:val="false"/>
          <w:color w:val="000000"/>
          <w:sz w:val="28"/>
        </w:rPr>
        <w:t>
      6) информацию об основных рисках, связанных с инвестиционной деятельностью;</w:t>
      </w:r>
    </w:p>
    <w:p>
      <w:pPr>
        <w:spacing w:after="0"/>
        <w:ind w:left="0"/>
        <w:jc w:val="both"/>
      </w:pPr>
      <w:r>
        <w:rPr>
          <w:rFonts w:ascii="Times New Roman"/>
          <w:b w:val="false"/>
          <w:i w:val="false"/>
          <w:color w:val="000000"/>
          <w:sz w:val="28"/>
        </w:rPr>
        <w:t>
      7) политику начисления вознаграждения.</w:t>
      </w:r>
    </w:p>
    <w:p>
      <w:pPr>
        <w:spacing w:after="0"/>
        <w:ind w:left="0"/>
        <w:jc w:val="both"/>
      </w:pPr>
      <w:r>
        <w:rPr>
          <w:rFonts w:ascii="Times New Roman"/>
          <w:b w:val="false"/>
          <w:i w:val="false"/>
          <w:color w:val="000000"/>
          <w:sz w:val="28"/>
        </w:rPr>
        <w:t xml:space="preserve">
      Требования к инвестиционной декларации инвестиционных фондов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2004 года "Об инвестиционных и венчурных фондах".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постановлением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119"/>
    <w:p>
      <w:pPr>
        <w:spacing w:after="0"/>
        <w:ind w:left="0"/>
        <w:jc w:val="both"/>
      </w:pPr>
      <w:r>
        <w:rPr>
          <w:rFonts w:ascii="Times New Roman"/>
          <w:b w:val="false"/>
          <w:i w:val="false"/>
          <w:color w:val="000000"/>
          <w:sz w:val="28"/>
        </w:rPr>
        <w:t xml:space="preserve">
      38. В целях обеспечения управления собственными активами брокера и (или) дилера, Управляющего разрабатывается политика инвестирования собственных активов брокера и (или) дилера, Управляющего, включающая кроме положений, предусмотренных </w:t>
      </w:r>
      <w:r>
        <w:rPr>
          <w:rFonts w:ascii="Times New Roman"/>
          <w:b w:val="false"/>
          <w:i w:val="false"/>
          <w:color w:val="000000"/>
          <w:sz w:val="28"/>
        </w:rPr>
        <w:t>пунктами 21</w:t>
      </w:r>
      <w:r>
        <w:rPr>
          <w:rFonts w:ascii="Times New Roman"/>
          <w:b w:val="false"/>
          <w:i w:val="false"/>
          <w:color w:val="000000"/>
          <w:sz w:val="28"/>
        </w:rPr>
        <w:t xml:space="preserve"> и (или) </w:t>
      </w:r>
      <w:r>
        <w:rPr>
          <w:rFonts w:ascii="Times New Roman"/>
          <w:b w:val="false"/>
          <w:i w:val="false"/>
          <w:color w:val="000000"/>
          <w:sz w:val="28"/>
        </w:rPr>
        <w:t>22</w:t>
      </w:r>
      <w:r>
        <w:rPr>
          <w:rFonts w:ascii="Times New Roman"/>
          <w:b w:val="false"/>
          <w:i w:val="false"/>
          <w:color w:val="000000"/>
          <w:sz w:val="28"/>
        </w:rPr>
        <w:t xml:space="preserve"> Правил, следующее:</w:t>
      </w:r>
    </w:p>
    <w:bookmarkEnd w:id="119"/>
    <w:p>
      <w:pPr>
        <w:spacing w:after="0"/>
        <w:ind w:left="0"/>
        <w:jc w:val="both"/>
      </w:pPr>
      <w:r>
        <w:rPr>
          <w:rFonts w:ascii="Times New Roman"/>
          <w:b w:val="false"/>
          <w:i w:val="false"/>
          <w:color w:val="000000"/>
          <w:sz w:val="28"/>
        </w:rPr>
        <w:t>
      1) цели и стратегии инвестирования собственных активов;</w:t>
      </w:r>
    </w:p>
    <w:p>
      <w:pPr>
        <w:spacing w:after="0"/>
        <w:ind w:left="0"/>
        <w:jc w:val="both"/>
      </w:pPr>
      <w:r>
        <w:rPr>
          <w:rFonts w:ascii="Times New Roman"/>
          <w:b w:val="false"/>
          <w:i w:val="false"/>
          <w:color w:val="000000"/>
          <w:sz w:val="28"/>
        </w:rPr>
        <w:t>
      2) описание и перечень объектов инвестирования;</w:t>
      </w:r>
    </w:p>
    <w:p>
      <w:pPr>
        <w:spacing w:after="0"/>
        <w:ind w:left="0"/>
        <w:jc w:val="both"/>
      </w:pPr>
      <w:r>
        <w:rPr>
          <w:rFonts w:ascii="Times New Roman"/>
          <w:b w:val="false"/>
          <w:i w:val="false"/>
          <w:color w:val="000000"/>
          <w:sz w:val="28"/>
        </w:rPr>
        <w:t>
      3) лимиты инвестирования собственных активов по видам финансовых инструментов и доле открытой валютной позиции;</w:t>
      </w:r>
    </w:p>
    <w:p>
      <w:pPr>
        <w:spacing w:after="0"/>
        <w:ind w:left="0"/>
        <w:jc w:val="both"/>
      </w:pPr>
      <w:r>
        <w:rPr>
          <w:rFonts w:ascii="Times New Roman"/>
          <w:b w:val="false"/>
          <w:i w:val="false"/>
          <w:color w:val="000000"/>
          <w:sz w:val="28"/>
        </w:rPr>
        <w:t>
      4) условия и ограничения, установленные в отношении инвестиционной деятельности;</w:t>
      </w:r>
    </w:p>
    <w:p>
      <w:pPr>
        <w:spacing w:after="0"/>
        <w:ind w:left="0"/>
        <w:jc w:val="both"/>
      </w:pPr>
      <w:r>
        <w:rPr>
          <w:rFonts w:ascii="Times New Roman"/>
          <w:b w:val="false"/>
          <w:i w:val="false"/>
          <w:color w:val="000000"/>
          <w:sz w:val="28"/>
        </w:rPr>
        <w:t>
      5) условия хеджирования и диверсификации собственных активов с указанием перечня и описания инструментов хеджирования;</w:t>
      </w:r>
    </w:p>
    <w:p>
      <w:pPr>
        <w:spacing w:after="0"/>
        <w:ind w:left="0"/>
        <w:jc w:val="both"/>
      </w:pPr>
      <w:r>
        <w:rPr>
          <w:rFonts w:ascii="Times New Roman"/>
          <w:b w:val="false"/>
          <w:i w:val="false"/>
          <w:color w:val="000000"/>
          <w:sz w:val="28"/>
        </w:rPr>
        <w:t>
      6) информацию об основных рисках, связанных с инвестиционной деятельностью.</w:t>
      </w:r>
    </w:p>
    <w:bookmarkStart w:name="z83" w:id="120"/>
    <w:p>
      <w:pPr>
        <w:spacing w:after="0"/>
        <w:ind w:left="0"/>
        <w:jc w:val="both"/>
      </w:pPr>
      <w:r>
        <w:rPr>
          <w:rFonts w:ascii="Times New Roman"/>
          <w:b w:val="false"/>
          <w:i w:val="false"/>
          <w:color w:val="000000"/>
          <w:sz w:val="28"/>
        </w:rPr>
        <w:t>
      39. Политика инвестирования собственных активов брокера и (или) дилера, Управляющего и все изменения и дополнения в нее утверждаются органом управления (наблюдательным советом) брокера и (или) дилера, Управляющего после согласования с исполнительным органом брокера и (или) дилера, Управляющего и инвестиционным комитетом Управляющего.</w:t>
      </w:r>
    </w:p>
    <w:bookmarkEnd w:id="120"/>
    <w:bookmarkStart w:name="z84" w:id="121"/>
    <w:p>
      <w:pPr>
        <w:spacing w:after="0"/>
        <w:ind w:left="0"/>
        <w:jc w:val="both"/>
      </w:pPr>
      <w:r>
        <w:rPr>
          <w:rFonts w:ascii="Times New Roman"/>
          <w:b w:val="false"/>
          <w:i w:val="false"/>
          <w:color w:val="000000"/>
          <w:sz w:val="28"/>
        </w:rPr>
        <w:t>
      40. В целях обеспечения эффективного управления активами клиентов, принятых в управление, в том числе пенсионными активами, активами инвестиционных фондов, и (или) собственными активами Управляющего или брокера и (или) дилера, являющегося Управляющим, ответственным подразделением Управляющего или брокера и (или) дилера, являющегося Управляющим, проводятся:</w:t>
      </w:r>
    </w:p>
    <w:bookmarkEnd w:id="121"/>
    <w:bookmarkStart w:name="z505" w:id="122"/>
    <w:p>
      <w:pPr>
        <w:spacing w:after="0"/>
        <w:ind w:left="0"/>
        <w:jc w:val="both"/>
      </w:pPr>
      <w:r>
        <w:rPr>
          <w:rFonts w:ascii="Times New Roman"/>
          <w:b w:val="false"/>
          <w:i w:val="false"/>
          <w:color w:val="000000"/>
          <w:sz w:val="28"/>
        </w:rPr>
        <w:t>
      1) не реже одного раза в полугодие:</w:t>
      </w:r>
    </w:p>
    <w:bookmarkEnd w:id="122"/>
    <w:p>
      <w:pPr>
        <w:spacing w:after="0"/>
        <w:ind w:left="0"/>
        <w:jc w:val="both"/>
      </w:pPr>
      <w:r>
        <w:rPr>
          <w:rFonts w:ascii="Times New Roman"/>
          <w:b w:val="false"/>
          <w:i w:val="false"/>
          <w:color w:val="000000"/>
          <w:sz w:val="28"/>
        </w:rPr>
        <w:t>
      макроэкономический анализ по степени привлекательности рынков инвестирования в зависимости от складывающейся геополитической ситуации, валюты инвестирования и отрасли экономики;</w:t>
      </w:r>
    </w:p>
    <w:bookmarkStart w:name="z506" w:id="123"/>
    <w:p>
      <w:pPr>
        <w:spacing w:after="0"/>
        <w:ind w:left="0"/>
        <w:jc w:val="both"/>
      </w:pPr>
      <w:r>
        <w:rPr>
          <w:rFonts w:ascii="Times New Roman"/>
          <w:b w:val="false"/>
          <w:i w:val="false"/>
          <w:color w:val="000000"/>
          <w:sz w:val="28"/>
        </w:rPr>
        <w:t>
      2) не реже одного раза в квартал:</w:t>
      </w:r>
    </w:p>
    <w:bookmarkEnd w:id="123"/>
    <w:p>
      <w:pPr>
        <w:spacing w:after="0"/>
        <w:ind w:left="0"/>
        <w:jc w:val="both"/>
      </w:pPr>
      <w:r>
        <w:rPr>
          <w:rFonts w:ascii="Times New Roman"/>
          <w:b w:val="false"/>
          <w:i w:val="false"/>
          <w:color w:val="000000"/>
          <w:sz w:val="28"/>
        </w:rPr>
        <w:t>
      анализ эмитентов и выпущенных (предоставленных) ими финансовых инструментов, включая анализ финансового состояния эмитента, способности отвечать по принятым обязательствам, рисков, связанных с инвестированием в финансовые инструменты данного эмитента и, в случае инвестирования собственных активов, влиянием данных рисков на значения пруденциальных нормативов и иных норм и лимитов, установленных уполномоченным органом для Управляющего;</w:t>
      </w:r>
    </w:p>
    <w:p>
      <w:pPr>
        <w:spacing w:after="0"/>
        <w:ind w:left="0"/>
        <w:jc w:val="both"/>
      </w:pPr>
      <w:r>
        <w:rPr>
          <w:rFonts w:ascii="Times New Roman"/>
          <w:b w:val="false"/>
          <w:i w:val="false"/>
          <w:color w:val="000000"/>
          <w:sz w:val="28"/>
        </w:rPr>
        <w:t>
      анализ инвестиционного портфеля, включающий сведения о структуре портфеля, динамике изменения доходности, анализ убыточных позиций и предложения по оптимизации структуры портфеля;</w:t>
      </w:r>
    </w:p>
    <w:p>
      <w:pPr>
        <w:spacing w:after="0"/>
        <w:ind w:left="0"/>
        <w:jc w:val="both"/>
      </w:pPr>
      <w:r>
        <w:rPr>
          <w:rFonts w:ascii="Times New Roman"/>
          <w:b w:val="false"/>
          <w:i w:val="false"/>
          <w:color w:val="000000"/>
          <w:sz w:val="28"/>
        </w:rPr>
        <w:t>
      анализ, содержащий прогноз размера активов, предполагаемых к принятию в инвестиционное управление, а также структуры обязательств инвестиционного (инвестиционных) портфеля (портфелей), принятого (принятых) в управление, по срокам их исполнения (на основе анализа структуры, клиентов, в том числе вкладчиков добровольных накопительных пенсионных взносов (получателей пенсионных выплат), пайщиков, акционеров инвестиционного фонда, включающего информацию о сумме денег и (или) активов, переданных в инвестиционное управление);</w:t>
      </w:r>
    </w:p>
    <w:p>
      <w:pPr>
        <w:spacing w:after="0"/>
        <w:ind w:left="0"/>
        <w:jc w:val="both"/>
      </w:pPr>
      <w:r>
        <w:rPr>
          <w:rFonts w:ascii="Times New Roman"/>
          <w:b w:val="false"/>
          <w:i w:val="false"/>
          <w:color w:val="000000"/>
          <w:sz w:val="28"/>
        </w:rPr>
        <w:t>
      анализ, содержащий прогноз размера пенсионных активов, предполагаемых к принятию в доверительное управление, а также структуры обязательств инвестиционного (инвестиционных) портфеля (портфелей), принятого (принятых) в доверительное управление, по срокам их исполнения;</w:t>
      </w:r>
    </w:p>
    <w:bookmarkStart w:name="z507" w:id="124"/>
    <w:p>
      <w:pPr>
        <w:spacing w:after="0"/>
        <w:ind w:left="0"/>
        <w:jc w:val="both"/>
      </w:pPr>
      <w:r>
        <w:rPr>
          <w:rFonts w:ascii="Times New Roman"/>
          <w:b w:val="false"/>
          <w:i w:val="false"/>
          <w:color w:val="000000"/>
          <w:sz w:val="28"/>
        </w:rPr>
        <w:t>
      3) на ежедневной основе:</w:t>
      </w:r>
    </w:p>
    <w:bookmarkEnd w:id="124"/>
    <w:p>
      <w:pPr>
        <w:spacing w:after="0"/>
        <w:ind w:left="0"/>
        <w:jc w:val="both"/>
      </w:pPr>
      <w:r>
        <w:rPr>
          <w:rFonts w:ascii="Times New Roman"/>
          <w:b w:val="false"/>
          <w:i w:val="false"/>
          <w:color w:val="000000"/>
          <w:sz w:val="28"/>
        </w:rPr>
        <w:t>
      управление денежными потоками (ликвидностью), включающее обзор соблюдения лимитов гэп-позиций по собственным активам и активам клиентов, с учетом изменения способности мобилизовать ликвидные активы, необходимые для погашения обязательств в течение установленных сроков, в том числе мониторинг способности сформировать ликвидные активы в иностранной валюте, необходимые для погашения обязательств в иностранной валюте.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постановления Правления Агентства РК по регулированию и развитию финансового рынка от 15.02.2021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25"/>
    <w:p>
      <w:pPr>
        <w:spacing w:after="0"/>
        <w:ind w:left="0"/>
        <w:jc w:val="both"/>
      </w:pPr>
      <w:r>
        <w:rPr>
          <w:rFonts w:ascii="Times New Roman"/>
          <w:b w:val="false"/>
          <w:i w:val="false"/>
          <w:color w:val="000000"/>
          <w:sz w:val="28"/>
        </w:rPr>
        <w:t>
      41. На основе аналитических исследований, указанных в пункте 40 Правил, ответственным подразделением Управляющего или брокера и (или) дилера, являющегося Управляющим, разрабатываются рекомендации, содержащие подробный перечень факторов, послуживших основанием для предоставления данных рекомендаций.</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26"/>
    <w:p>
      <w:pPr>
        <w:spacing w:after="0"/>
        <w:ind w:left="0"/>
        <w:jc w:val="both"/>
      </w:pPr>
      <w:r>
        <w:rPr>
          <w:rFonts w:ascii="Times New Roman"/>
          <w:b w:val="false"/>
          <w:i w:val="false"/>
          <w:color w:val="000000"/>
          <w:sz w:val="28"/>
        </w:rPr>
        <w:t>
      42. Рекомендации предоставляются при:</w:t>
      </w:r>
    </w:p>
    <w:bookmarkEnd w:id="126"/>
    <w:p>
      <w:pPr>
        <w:spacing w:after="0"/>
        <w:ind w:left="0"/>
        <w:jc w:val="both"/>
      </w:pPr>
      <w:r>
        <w:rPr>
          <w:rFonts w:ascii="Times New Roman"/>
          <w:b w:val="false"/>
          <w:i w:val="false"/>
          <w:color w:val="000000"/>
          <w:sz w:val="28"/>
        </w:rPr>
        <w:t>
      1) разработке корпоративной стратегии, инвестиционной декларации и политики инвестирования собственных активов Управляющего или брокера и (или) дилера, являющегося Управляющим, а также внесении изменений и дополнений в указанные документы;</w:t>
      </w:r>
    </w:p>
    <w:p>
      <w:pPr>
        <w:spacing w:after="0"/>
        <w:ind w:left="0"/>
        <w:jc w:val="both"/>
      </w:pPr>
      <w:r>
        <w:rPr>
          <w:rFonts w:ascii="Times New Roman"/>
          <w:b w:val="false"/>
          <w:i w:val="false"/>
          <w:color w:val="000000"/>
          <w:sz w:val="28"/>
        </w:rPr>
        <w:t>
      2) определении и пересмотре лимитов инвестирования;</w:t>
      </w:r>
    </w:p>
    <w:p>
      <w:pPr>
        <w:spacing w:after="0"/>
        <w:ind w:left="0"/>
        <w:jc w:val="both"/>
      </w:pPr>
      <w:r>
        <w:rPr>
          <w:rFonts w:ascii="Times New Roman"/>
          <w:b w:val="false"/>
          <w:i w:val="false"/>
          <w:color w:val="000000"/>
          <w:sz w:val="28"/>
        </w:rPr>
        <w:t>
      3) принятии решений о совершении сделок за счет активов клиентов, принятых в инвестиционное управление, и (или) собственных активов Управляющего или брокера и (или) дилера, являющегося Управляющим;</w:t>
      </w:r>
    </w:p>
    <w:p>
      <w:pPr>
        <w:spacing w:after="0"/>
        <w:ind w:left="0"/>
        <w:jc w:val="both"/>
      </w:pPr>
      <w:r>
        <w:rPr>
          <w:rFonts w:ascii="Times New Roman"/>
          <w:b w:val="false"/>
          <w:i w:val="false"/>
          <w:color w:val="000000"/>
          <w:sz w:val="28"/>
        </w:rPr>
        <w:t>
      4) принятии решений об инвестировании активов клиентов, принятых в инвестиционное управление, и (или) собственных активов брокера и (или) дилера, Управляющего, брокера и (или) дилера, являющегося Управляющим, с использованием автоматизированной системы размещения и управления заявками на заключение сделок по финансовым инструментам по заданному алгоритму (алгоритмический трейдинг).</w:t>
      </w:r>
    </w:p>
    <w:p>
      <w:pPr>
        <w:spacing w:after="0"/>
        <w:ind w:left="0"/>
        <w:jc w:val="both"/>
      </w:pPr>
      <w:r>
        <w:rPr>
          <w:rFonts w:ascii="Times New Roman"/>
          <w:b w:val="false"/>
          <w:i w:val="false"/>
          <w:color w:val="000000"/>
          <w:sz w:val="28"/>
        </w:rPr>
        <w:t>
      Рекомендация, предусмотренная подпунктом 3) настоящего пункта, разрабатывается для принятия инвестиционных решений в отношении совершения как одной, так и нескольких сделок с финансовыми инструментами и не требуется в отношении сделок по покупке иностранной валюты в случае, если иностранная валюта приобретается для совершения сделок по покупке ценных бумаг, расчеты по которым осуществляются в иностранной валюте и (или) для оплаты административных расходов и (или) погашения обязательств брокера и (или) дилера, Управляющего, выраженных в иностранной валюте.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27"/>
    <w:p>
      <w:pPr>
        <w:spacing w:after="0"/>
        <w:ind w:left="0"/>
        <w:jc w:val="both"/>
      </w:pPr>
      <w:r>
        <w:rPr>
          <w:rFonts w:ascii="Times New Roman"/>
          <w:b w:val="false"/>
          <w:i w:val="false"/>
          <w:color w:val="000000"/>
          <w:sz w:val="28"/>
        </w:rPr>
        <w:t>
      43. Рекомендация содержит следующие сведения:</w:t>
      </w:r>
    </w:p>
    <w:bookmarkEnd w:id="127"/>
    <w:p>
      <w:pPr>
        <w:spacing w:after="0"/>
        <w:ind w:left="0"/>
        <w:jc w:val="both"/>
      </w:pPr>
      <w:r>
        <w:rPr>
          <w:rFonts w:ascii="Times New Roman"/>
          <w:b w:val="false"/>
          <w:i w:val="false"/>
          <w:color w:val="000000"/>
          <w:sz w:val="28"/>
        </w:rPr>
        <w:t>
      1) дату выдачи и ее номер;</w:t>
      </w:r>
    </w:p>
    <w:p>
      <w:pPr>
        <w:spacing w:after="0"/>
        <w:ind w:left="0"/>
        <w:jc w:val="both"/>
      </w:pPr>
      <w:r>
        <w:rPr>
          <w:rFonts w:ascii="Times New Roman"/>
          <w:b w:val="false"/>
          <w:i w:val="false"/>
          <w:color w:val="000000"/>
          <w:sz w:val="28"/>
        </w:rPr>
        <w:t>
      2) анализ информации, использованной для выдачи рекомендации;</w:t>
      </w:r>
    </w:p>
    <w:p>
      <w:pPr>
        <w:spacing w:after="0"/>
        <w:ind w:left="0"/>
        <w:jc w:val="both"/>
      </w:pPr>
      <w:r>
        <w:rPr>
          <w:rFonts w:ascii="Times New Roman"/>
          <w:b w:val="false"/>
          <w:i w:val="false"/>
          <w:color w:val="000000"/>
          <w:sz w:val="28"/>
        </w:rPr>
        <w:t>
      3) подписи лиц, составивших рекомендацию, с указанием их занимаемых должностей;</w:t>
      </w:r>
    </w:p>
    <w:p>
      <w:pPr>
        <w:spacing w:after="0"/>
        <w:ind w:left="0"/>
        <w:jc w:val="both"/>
      </w:pPr>
      <w:r>
        <w:rPr>
          <w:rFonts w:ascii="Times New Roman"/>
          <w:b w:val="false"/>
          <w:i w:val="false"/>
          <w:color w:val="000000"/>
          <w:sz w:val="28"/>
        </w:rPr>
        <w:t>
      4) результаты анализа информации, использованной для выдачи рекомендации, включая, но не ограничиваясь информацией о:</w:t>
      </w:r>
    </w:p>
    <w:p>
      <w:pPr>
        <w:spacing w:after="0"/>
        <w:ind w:left="0"/>
        <w:jc w:val="both"/>
      </w:pPr>
      <w:r>
        <w:rPr>
          <w:rFonts w:ascii="Times New Roman"/>
          <w:b w:val="false"/>
          <w:i w:val="false"/>
          <w:color w:val="000000"/>
          <w:sz w:val="28"/>
        </w:rPr>
        <w:t>
      влиянии совершаемой сделки на предполагаемое изменение доходов по принятым в управление активам и (или) собственным активам Управляющего или брокера и (или) дилера, являющегося Управляющим;</w:t>
      </w:r>
    </w:p>
    <w:p>
      <w:pPr>
        <w:spacing w:after="0"/>
        <w:ind w:left="0"/>
        <w:jc w:val="both"/>
      </w:pPr>
      <w:r>
        <w:rPr>
          <w:rFonts w:ascii="Times New Roman"/>
          <w:b w:val="false"/>
          <w:i w:val="false"/>
          <w:color w:val="000000"/>
          <w:sz w:val="28"/>
        </w:rPr>
        <w:t>
      рисках, связанных с приобретением данного финансового инструмента (финансовых инструментов);</w:t>
      </w:r>
    </w:p>
    <w:p>
      <w:pPr>
        <w:spacing w:after="0"/>
        <w:ind w:left="0"/>
        <w:jc w:val="both"/>
      </w:pPr>
      <w:r>
        <w:rPr>
          <w:rFonts w:ascii="Times New Roman"/>
          <w:b w:val="false"/>
          <w:i w:val="false"/>
          <w:color w:val="000000"/>
          <w:sz w:val="28"/>
        </w:rPr>
        <w:t>
      влиянии совершаемой сделки на изменение значений пруденциальных нормативов, установленных уполномоченным органом;</w:t>
      </w:r>
    </w:p>
    <w:p>
      <w:pPr>
        <w:spacing w:after="0"/>
        <w:ind w:left="0"/>
        <w:jc w:val="both"/>
      </w:pPr>
      <w:r>
        <w:rPr>
          <w:rFonts w:ascii="Times New Roman"/>
          <w:b w:val="false"/>
          <w:i w:val="false"/>
          <w:color w:val="000000"/>
          <w:sz w:val="28"/>
        </w:rPr>
        <w:t>
      5) предлагаемые варианты решения о заключении сделок с финансовыми инструментами за счет собственных средств и активов клиентов, принятых в инвестиционное управление;</w:t>
      </w:r>
    </w:p>
    <w:p>
      <w:pPr>
        <w:spacing w:after="0"/>
        <w:ind w:left="0"/>
        <w:jc w:val="both"/>
      </w:pPr>
      <w:r>
        <w:rPr>
          <w:rFonts w:ascii="Times New Roman"/>
          <w:b w:val="false"/>
          <w:i w:val="false"/>
          <w:color w:val="000000"/>
          <w:sz w:val="28"/>
        </w:rPr>
        <w:t>
      6) описание финансового инструмента (финансовых инструментов) с указанием вида, объема, диапазона цен, уровня доходности и других характеристик (условий) данного финансового инструмента (финансовых инструментов);</w:t>
      </w:r>
    </w:p>
    <w:p>
      <w:pPr>
        <w:spacing w:after="0"/>
        <w:ind w:left="0"/>
        <w:jc w:val="both"/>
      </w:pPr>
      <w:r>
        <w:rPr>
          <w:rFonts w:ascii="Times New Roman"/>
          <w:b w:val="false"/>
          <w:i w:val="false"/>
          <w:color w:val="000000"/>
          <w:sz w:val="28"/>
        </w:rPr>
        <w:t>
      7) цель заключения предлагаемой к совершению сделки.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внесенными постановлением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 w:id="128"/>
    <w:p>
      <w:pPr>
        <w:spacing w:after="0"/>
        <w:ind w:left="0"/>
        <w:jc w:val="both"/>
      </w:pPr>
      <w:r>
        <w:rPr>
          <w:rFonts w:ascii="Times New Roman"/>
          <w:b w:val="false"/>
          <w:i w:val="false"/>
          <w:color w:val="000000"/>
          <w:sz w:val="28"/>
        </w:rPr>
        <w:t>
      43-1. Рекомендация по инвестированию активов клиентов, принятых в инвестиционное управление, и (или) собственных активов брокера и (или) дилера, Управляющего, брокера и (или) дилера, являющегося Управляющим, с использованием алгоритмического трейдинга содержит следующие сведения:</w:t>
      </w:r>
    </w:p>
    <w:bookmarkEnd w:id="128"/>
    <w:p>
      <w:pPr>
        <w:spacing w:after="0"/>
        <w:ind w:left="0"/>
        <w:jc w:val="both"/>
      </w:pPr>
      <w:r>
        <w:rPr>
          <w:rFonts w:ascii="Times New Roman"/>
          <w:b w:val="false"/>
          <w:i w:val="false"/>
          <w:color w:val="000000"/>
          <w:sz w:val="28"/>
        </w:rPr>
        <w:t>
      1) дату выдачи и ее номер;</w:t>
      </w:r>
    </w:p>
    <w:p>
      <w:pPr>
        <w:spacing w:after="0"/>
        <w:ind w:left="0"/>
        <w:jc w:val="both"/>
      </w:pPr>
      <w:r>
        <w:rPr>
          <w:rFonts w:ascii="Times New Roman"/>
          <w:b w:val="false"/>
          <w:i w:val="false"/>
          <w:color w:val="000000"/>
          <w:sz w:val="28"/>
        </w:rPr>
        <w:t>
      2) сведения о клиенте, в отношении активов которого предполагается применение алгоритмического трейдинга, либо указание на то, что рекомендация составлена в отношении собственных активов;</w:t>
      </w:r>
    </w:p>
    <w:p>
      <w:pPr>
        <w:spacing w:after="0"/>
        <w:ind w:left="0"/>
        <w:jc w:val="both"/>
      </w:pPr>
      <w:r>
        <w:rPr>
          <w:rFonts w:ascii="Times New Roman"/>
          <w:b w:val="false"/>
          <w:i w:val="false"/>
          <w:color w:val="000000"/>
          <w:sz w:val="28"/>
        </w:rPr>
        <w:t>
      3) наименование рекомендуемой к применению алгоритмической стратегии;</w:t>
      </w:r>
    </w:p>
    <w:p>
      <w:pPr>
        <w:spacing w:after="0"/>
        <w:ind w:left="0"/>
        <w:jc w:val="both"/>
      </w:pPr>
      <w:r>
        <w:rPr>
          <w:rFonts w:ascii="Times New Roman"/>
          <w:b w:val="false"/>
          <w:i w:val="false"/>
          <w:color w:val="000000"/>
          <w:sz w:val="28"/>
        </w:rPr>
        <w:t>
      4) рекомендуемую сумму для инвестирования;</w:t>
      </w:r>
    </w:p>
    <w:p>
      <w:pPr>
        <w:spacing w:after="0"/>
        <w:ind w:left="0"/>
        <w:jc w:val="both"/>
      </w:pPr>
      <w:r>
        <w:rPr>
          <w:rFonts w:ascii="Times New Roman"/>
          <w:b w:val="false"/>
          <w:i w:val="false"/>
          <w:color w:val="000000"/>
          <w:sz w:val="28"/>
        </w:rPr>
        <w:t>
      5) перечень финансовых инструментов (при необходимости);</w:t>
      </w:r>
    </w:p>
    <w:p>
      <w:pPr>
        <w:spacing w:after="0"/>
        <w:ind w:left="0"/>
        <w:jc w:val="both"/>
      </w:pPr>
      <w:r>
        <w:rPr>
          <w:rFonts w:ascii="Times New Roman"/>
          <w:b w:val="false"/>
          <w:i w:val="false"/>
          <w:color w:val="000000"/>
          <w:sz w:val="28"/>
        </w:rPr>
        <w:t>
      6) рекомендуемый срок действия алгоритмической стратегии;</w:t>
      </w:r>
    </w:p>
    <w:p>
      <w:pPr>
        <w:spacing w:after="0"/>
        <w:ind w:left="0"/>
        <w:jc w:val="both"/>
      </w:pPr>
      <w:r>
        <w:rPr>
          <w:rFonts w:ascii="Times New Roman"/>
          <w:b w:val="false"/>
          <w:i w:val="false"/>
          <w:color w:val="000000"/>
          <w:sz w:val="28"/>
        </w:rPr>
        <w:t>
      7) ожидаемый размер доходности от применения данной алгоритмической стратегии;</w:t>
      </w:r>
    </w:p>
    <w:p>
      <w:pPr>
        <w:spacing w:after="0"/>
        <w:ind w:left="0"/>
        <w:jc w:val="both"/>
      </w:pPr>
      <w:r>
        <w:rPr>
          <w:rFonts w:ascii="Times New Roman"/>
          <w:b w:val="false"/>
          <w:i w:val="false"/>
          <w:color w:val="000000"/>
          <w:sz w:val="28"/>
        </w:rPr>
        <w:t>
      8) максимально допустимый размер убытка от суммы, рекомендуемой для инвестирования;</w:t>
      </w:r>
    </w:p>
    <w:p>
      <w:pPr>
        <w:spacing w:after="0"/>
        <w:ind w:left="0"/>
        <w:jc w:val="both"/>
      </w:pPr>
      <w:r>
        <w:rPr>
          <w:rFonts w:ascii="Times New Roman"/>
          <w:b w:val="false"/>
          <w:i w:val="false"/>
          <w:color w:val="000000"/>
          <w:sz w:val="28"/>
        </w:rPr>
        <w:t>
      9) подписи лиц, составивших рекомендацию, с указанием их занимаемых должностей.</w:t>
      </w:r>
    </w:p>
    <w:p>
      <w:pPr>
        <w:spacing w:after="0"/>
        <w:ind w:left="0"/>
        <w:jc w:val="both"/>
      </w:pPr>
      <w:r>
        <w:rPr>
          <w:rFonts w:ascii="Times New Roman"/>
          <w:b w:val="false"/>
          <w:i w:val="false"/>
          <w:color w:val="000000"/>
          <w:sz w:val="28"/>
        </w:rPr>
        <w:t>
      Алгоритмическая стратегия (алгоритмические стратегии) утверждается (утверждаются) инвестиционным комитетом брокера и (или) дилера, Управляющего, брокера и (или) дилера, являющегося Управляющим.</w:t>
      </w:r>
    </w:p>
    <w:p>
      <w:pPr>
        <w:spacing w:after="0"/>
        <w:ind w:left="0"/>
        <w:jc w:val="both"/>
      </w:pPr>
      <w:r>
        <w:rPr>
          <w:rFonts w:ascii="Times New Roman"/>
          <w:b w:val="false"/>
          <w:i w:val="false"/>
          <w:color w:val="000000"/>
          <w:sz w:val="28"/>
        </w:rPr>
        <w:t>
      Документ, содержащий условия алгоритмической стратегии, включает, но не ограничивается следующим:</w:t>
      </w:r>
    </w:p>
    <w:p>
      <w:pPr>
        <w:spacing w:after="0"/>
        <w:ind w:left="0"/>
        <w:jc w:val="both"/>
      </w:pPr>
      <w:r>
        <w:rPr>
          <w:rFonts w:ascii="Times New Roman"/>
          <w:b w:val="false"/>
          <w:i w:val="false"/>
          <w:color w:val="000000"/>
          <w:sz w:val="28"/>
        </w:rPr>
        <w:t>
      1) подробное описание алгоритмической стратегии;</w:t>
      </w:r>
    </w:p>
    <w:p>
      <w:pPr>
        <w:spacing w:after="0"/>
        <w:ind w:left="0"/>
        <w:jc w:val="both"/>
      </w:pPr>
      <w:r>
        <w:rPr>
          <w:rFonts w:ascii="Times New Roman"/>
          <w:b w:val="false"/>
          <w:i w:val="false"/>
          <w:color w:val="000000"/>
          <w:sz w:val="28"/>
        </w:rPr>
        <w:t>
      2) перечень финансовых инструментов, используемых в рамках данной алгоритмической стратегии;</w:t>
      </w:r>
    </w:p>
    <w:p>
      <w:pPr>
        <w:spacing w:after="0"/>
        <w:ind w:left="0"/>
        <w:jc w:val="both"/>
      </w:pPr>
      <w:r>
        <w:rPr>
          <w:rFonts w:ascii="Times New Roman"/>
          <w:b w:val="false"/>
          <w:i w:val="false"/>
          <w:color w:val="000000"/>
          <w:sz w:val="28"/>
        </w:rPr>
        <w:t>
      3) результаты проверки (тестирования) эффективности данной алгоритмической стратегии с использованием исторических финансовых данных;</w:t>
      </w:r>
    </w:p>
    <w:p>
      <w:pPr>
        <w:spacing w:after="0"/>
        <w:ind w:left="0"/>
        <w:jc w:val="both"/>
      </w:pPr>
      <w:r>
        <w:rPr>
          <w:rFonts w:ascii="Times New Roman"/>
          <w:b w:val="false"/>
          <w:i w:val="false"/>
          <w:color w:val="000000"/>
          <w:sz w:val="28"/>
        </w:rPr>
        <w:t>
      4) информацию об основных рисках, связанных с инвестированием с применением алгоритмического трейдинга;</w:t>
      </w:r>
    </w:p>
    <w:p>
      <w:pPr>
        <w:spacing w:after="0"/>
        <w:ind w:left="0"/>
        <w:jc w:val="both"/>
      </w:pPr>
      <w:r>
        <w:rPr>
          <w:rFonts w:ascii="Times New Roman"/>
          <w:b w:val="false"/>
          <w:i w:val="false"/>
          <w:color w:val="000000"/>
          <w:sz w:val="28"/>
        </w:rPr>
        <w:t>
      5) сведения о дополнительных расходах и комиссиях, возникающих при применении данной алгоритмической стратегии.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43-1 в соответствии с постановлением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29"/>
    <w:p>
      <w:pPr>
        <w:spacing w:after="0"/>
        <w:ind w:left="0"/>
        <w:jc w:val="both"/>
      </w:pPr>
      <w:r>
        <w:rPr>
          <w:rFonts w:ascii="Times New Roman"/>
          <w:b w:val="false"/>
          <w:i w:val="false"/>
          <w:color w:val="000000"/>
          <w:sz w:val="28"/>
        </w:rPr>
        <w:t>
      44. Рекомендации хранятся вместе со всеми документами, на основании которых они были подготовлены.</w:t>
      </w:r>
    </w:p>
    <w:bookmarkEnd w:id="129"/>
    <w:bookmarkStart w:name="z89" w:id="130"/>
    <w:p>
      <w:pPr>
        <w:spacing w:after="0"/>
        <w:ind w:left="0"/>
        <w:jc w:val="both"/>
      </w:pPr>
      <w:r>
        <w:rPr>
          <w:rFonts w:ascii="Times New Roman"/>
          <w:b w:val="false"/>
          <w:i w:val="false"/>
          <w:color w:val="000000"/>
          <w:sz w:val="28"/>
        </w:rPr>
        <w:t>
      45. Подразделение Управляющего или брокера и (или) дилера, являющегося Управляющим, осуществляющее управление рисками:</w:t>
      </w:r>
    </w:p>
    <w:bookmarkEnd w:id="130"/>
    <w:p>
      <w:pPr>
        <w:spacing w:after="0"/>
        <w:ind w:left="0"/>
        <w:jc w:val="both"/>
      </w:pPr>
      <w:r>
        <w:rPr>
          <w:rFonts w:ascii="Times New Roman"/>
          <w:b w:val="false"/>
          <w:i w:val="false"/>
          <w:color w:val="000000"/>
          <w:sz w:val="28"/>
        </w:rPr>
        <w:t>
      1) определяет оперативные процедуры по недопущению чрезмерных расходов по операциям с финансовыми инструментами, в том числе связанных с резким колебанием цен на рынке финансовых инструментов (лимиты "stop-loss"), а также критические уровни цен по финансовым инструментам, соответствующих доходностей, после достижения которых повышается вероятность снижения рыночной стоимости финансового инструмента (лимиты "take-profit"). Лимиты "stop-loss" и "take-profit" устанавливаются для финансовых инструментов, по которым существует активный рынок, а также для иных финансовых инструментов, перечень которых определяется инвестиционным комитетом Управляющего или брокера и (или) дилера, являющегося Управляющим;</w:t>
      </w:r>
    </w:p>
    <w:p>
      <w:pPr>
        <w:spacing w:after="0"/>
        <w:ind w:left="0"/>
        <w:jc w:val="both"/>
      </w:pPr>
      <w:r>
        <w:rPr>
          <w:rFonts w:ascii="Times New Roman"/>
          <w:b w:val="false"/>
          <w:i w:val="false"/>
          <w:color w:val="000000"/>
          <w:sz w:val="28"/>
        </w:rPr>
        <w:t>
      2) совместно с подразделением, осуществляющим управление активами клиентов и (или) собственными активами, инициирует пересмотр лимитов в соответствии с масштабом и динамикой рынка финансовых инструментов и ликвидностью финансового инструмента;</w:t>
      </w:r>
    </w:p>
    <w:p>
      <w:pPr>
        <w:spacing w:after="0"/>
        <w:ind w:left="0"/>
        <w:jc w:val="both"/>
      </w:pPr>
      <w:r>
        <w:rPr>
          <w:rFonts w:ascii="Times New Roman"/>
          <w:b w:val="false"/>
          <w:i w:val="false"/>
          <w:color w:val="000000"/>
          <w:sz w:val="28"/>
        </w:rPr>
        <w:t>
      3) готовит заключение о подверженности кредитному, процентному, валютному и фондовому рискам инвестиционного портфеля каждого клиента, активы которого приняты в управление и (или) собственным активам и представляет данное заключение в инвестиционный комитет.</w:t>
      </w:r>
    </w:p>
    <w:bookmarkStart w:name="z90" w:id="131"/>
    <w:p>
      <w:pPr>
        <w:spacing w:after="0"/>
        <w:ind w:left="0"/>
        <w:jc w:val="both"/>
      </w:pPr>
      <w:r>
        <w:rPr>
          <w:rFonts w:ascii="Times New Roman"/>
          <w:b w:val="false"/>
          <w:i w:val="false"/>
          <w:color w:val="000000"/>
          <w:sz w:val="28"/>
        </w:rPr>
        <w:t xml:space="preserve">
      46. Заключение подразделения Управляющего или брокера и (или) дилера, являющегося Управляющим, осуществляющего управление рисками, подготовленное в соответствии с подпунктом 3) </w:t>
      </w:r>
      <w:r>
        <w:rPr>
          <w:rFonts w:ascii="Times New Roman"/>
          <w:b w:val="false"/>
          <w:i w:val="false"/>
          <w:color w:val="000000"/>
          <w:sz w:val="28"/>
        </w:rPr>
        <w:t>пункта 45</w:t>
      </w:r>
      <w:r>
        <w:rPr>
          <w:rFonts w:ascii="Times New Roman"/>
          <w:b w:val="false"/>
          <w:i w:val="false"/>
          <w:color w:val="000000"/>
          <w:sz w:val="28"/>
        </w:rPr>
        <w:t xml:space="preserve"> Правил, содержит следующие сведения, включая, но не ограничиваясь сведениями о:</w:t>
      </w:r>
    </w:p>
    <w:bookmarkEnd w:id="131"/>
    <w:p>
      <w:pPr>
        <w:spacing w:after="0"/>
        <w:ind w:left="0"/>
        <w:jc w:val="both"/>
      </w:pPr>
      <w:r>
        <w:rPr>
          <w:rFonts w:ascii="Times New Roman"/>
          <w:b w:val="false"/>
          <w:i w:val="false"/>
          <w:color w:val="000000"/>
          <w:sz w:val="28"/>
        </w:rPr>
        <w:t>
      влиянии совершаемой сделки на соблюдение лимитов, установленных органом управления и инвестиционным комитетом;</w:t>
      </w:r>
    </w:p>
    <w:p>
      <w:pPr>
        <w:spacing w:after="0"/>
        <w:ind w:left="0"/>
        <w:jc w:val="both"/>
      </w:pPr>
      <w:r>
        <w:rPr>
          <w:rFonts w:ascii="Times New Roman"/>
          <w:b w:val="false"/>
          <w:i w:val="false"/>
          <w:color w:val="000000"/>
          <w:sz w:val="28"/>
        </w:rPr>
        <w:t>
      возможном изменении значений пруденциальных нормативов, установленных уполномоченным органом;</w:t>
      </w:r>
    </w:p>
    <w:p>
      <w:pPr>
        <w:spacing w:after="0"/>
        <w:ind w:left="0"/>
        <w:jc w:val="both"/>
      </w:pPr>
      <w:r>
        <w:rPr>
          <w:rFonts w:ascii="Times New Roman"/>
          <w:b w:val="false"/>
          <w:i w:val="false"/>
          <w:color w:val="000000"/>
          <w:sz w:val="28"/>
        </w:rPr>
        <w:t>
      рисках, связанных с приобретением данного финансового инструмента.</w:t>
      </w:r>
    </w:p>
    <w:bookmarkStart w:name="z91" w:id="132"/>
    <w:p>
      <w:pPr>
        <w:spacing w:after="0"/>
        <w:ind w:left="0"/>
        <w:jc w:val="both"/>
      </w:pPr>
      <w:r>
        <w:rPr>
          <w:rFonts w:ascii="Times New Roman"/>
          <w:b w:val="false"/>
          <w:i w:val="false"/>
          <w:color w:val="000000"/>
          <w:sz w:val="28"/>
        </w:rPr>
        <w:t>
      47. На основании рекомендаций подразделения, в функции которого включаются сбор, обработка и анализ информации, необходимой для принятия инвестиционного решения, и заключения подразделения, осуществляющего управление рисками, инвестиционный комитет Управляющего или брокера и (или) дилера, являющегося Управляющим:</w:t>
      </w:r>
    </w:p>
    <w:bookmarkEnd w:id="132"/>
    <w:p>
      <w:pPr>
        <w:spacing w:after="0"/>
        <w:ind w:left="0"/>
        <w:jc w:val="both"/>
      </w:pPr>
      <w:r>
        <w:rPr>
          <w:rFonts w:ascii="Times New Roman"/>
          <w:b w:val="false"/>
          <w:i w:val="false"/>
          <w:color w:val="000000"/>
          <w:sz w:val="28"/>
        </w:rPr>
        <w:t>
      1) определяет приоритетные направления инвестирования активов клиентов, принятых в управление, и (или) собственных активов Управляющего или брокера и (или) дилера, являющегося Управляющим;</w:t>
      </w:r>
    </w:p>
    <w:p>
      <w:pPr>
        <w:spacing w:after="0"/>
        <w:ind w:left="0"/>
        <w:jc w:val="both"/>
      </w:pPr>
      <w:r>
        <w:rPr>
          <w:rFonts w:ascii="Times New Roman"/>
          <w:b w:val="false"/>
          <w:i w:val="false"/>
          <w:color w:val="000000"/>
          <w:sz w:val="28"/>
        </w:rPr>
        <w:t>
      2) устанавливает и пересматривает не реже одного раза в год следующие лимиты инвестирования за счет активов клиентов, принятых в управление, и (или) собственных активов Управляющего или брокера и (или) дилера, являющегося Управляющим:</w:t>
      </w:r>
    </w:p>
    <w:p>
      <w:pPr>
        <w:spacing w:after="0"/>
        <w:ind w:left="0"/>
        <w:jc w:val="both"/>
      </w:pPr>
      <w:r>
        <w:rPr>
          <w:rFonts w:ascii="Times New Roman"/>
          <w:b w:val="false"/>
          <w:i w:val="false"/>
          <w:color w:val="000000"/>
          <w:sz w:val="28"/>
        </w:rPr>
        <w:t>
      лимиты инвестирования по видам финансовых инструментов и (или) иным активам;</w:t>
      </w:r>
    </w:p>
    <w:p>
      <w:pPr>
        <w:spacing w:after="0"/>
        <w:ind w:left="0"/>
        <w:jc w:val="both"/>
      </w:pPr>
      <w:r>
        <w:rPr>
          <w:rFonts w:ascii="Times New Roman"/>
          <w:b w:val="false"/>
          <w:i w:val="false"/>
          <w:color w:val="000000"/>
          <w:sz w:val="28"/>
        </w:rPr>
        <w:t>
      лимиты инвестирования в финансовые инструменты эмитентов, являющихся резидентами определенного государства ("лимит на страну");</w:t>
      </w:r>
    </w:p>
    <w:p>
      <w:pPr>
        <w:spacing w:after="0"/>
        <w:ind w:left="0"/>
        <w:jc w:val="both"/>
      </w:pPr>
      <w:r>
        <w:rPr>
          <w:rFonts w:ascii="Times New Roman"/>
          <w:b w:val="false"/>
          <w:i w:val="false"/>
          <w:color w:val="000000"/>
          <w:sz w:val="28"/>
        </w:rPr>
        <w:t>
      лимиты инвестирования по валютам, в которых номинированы финансовые инструменты;</w:t>
      </w:r>
    </w:p>
    <w:p>
      <w:pPr>
        <w:spacing w:after="0"/>
        <w:ind w:left="0"/>
        <w:jc w:val="both"/>
      </w:pPr>
      <w:r>
        <w:rPr>
          <w:rFonts w:ascii="Times New Roman"/>
          <w:b w:val="false"/>
          <w:i w:val="false"/>
          <w:color w:val="000000"/>
          <w:sz w:val="28"/>
        </w:rPr>
        <w:t>
      лимиты по открытым валютным позициям;</w:t>
      </w:r>
    </w:p>
    <w:p>
      <w:pPr>
        <w:spacing w:after="0"/>
        <w:ind w:left="0"/>
        <w:jc w:val="both"/>
      </w:pPr>
      <w:r>
        <w:rPr>
          <w:rFonts w:ascii="Times New Roman"/>
          <w:b w:val="false"/>
          <w:i w:val="false"/>
          <w:color w:val="000000"/>
          <w:sz w:val="28"/>
        </w:rPr>
        <w:t>
      лимиты инвестирования в финансовые инструменты эмитентов, основной вид деятельности которых связан с определенным сектором экономики;</w:t>
      </w:r>
    </w:p>
    <w:p>
      <w:pPr>
        <w:spacing w:after="0"/>
        <w:ind w:left="0"/>
        <w:jc w:val="both"/>
      </w:pPr>
      <w:r>
        <w:rPr>
          <w:rFonts w:ascii="Times New Roman"/>
          <w:b w:val="false"/>
          <w:i w:val="false"/>
          <w:color w:val="000000"/>
          <w:sz w:val="28"/>
        </w:rPr>
        <w:t>
      лимиты по размеру инвестирования в финансовые инструменты одного эмитента, а также по видам финансовых инструментов данного эмитента;</w:t>
      </w:r>
    </w:p>
    <w:p>
      <w:pPr>
        <w:spacing w:after="0"/>
        <w:ind w:left="0"/>
        <w:jc w:val="both"/>
      </w:pPr>
      <w:r>
        <w:rPr>
          <w:rFonts w:ascii="Times New Roman"/>
          <w:b w:val="false"/>
          <w:i w:val="false"/>
          <w:color w:val="000000"/>
          <w:sz w:val="28"/>
        </w:rPr>
        <w:t>
      перечень финансовых инструментов, по которым устанавливаются лимиты "stop-loss" и "take-profit";</w:t>
      </w:r>
    </w:p>
    <w:p>
      <w:pPr>
        <w:spacing w:after="0"/>
        <w:ind w:left="0"/>
        <w:jc w:val="both"/>
      </w:pPr>
      <w:r>
        <w:rPr>
          <w:rFonts w:ascii="Times New Roman"/>
          <w:b w:val="false"/>
          <w:i w:val="false"/>
          <w:color w:val="000000"/>
          <w:sz w:val="28"/>
        </w:rPr>
        <w:t>
      лимиты "stop-loss" для финансовых инструментов;</w:t>
      </w:r>
    </w:p>
    <w:p>
      <w:pPr>
        <w:spacing w:after="0"/>
        <w:ind w:left="0"/>
        <w:jc w:val="both"/>
      </w:pPr>
      <w:r>
        <w:rPr>
          <w:rFonts w:ascii="Times New Roman"/>
          <w:b w:val="false"/>
          <w:i w:val="false"/>
          <w:color w:val="000000"/>
          <w:sz w:val="28"/>
        </w:rPr>
        <w:t>
      лимиты "take-profit" для финансовых инструментов;</w:t>
      </w:r>
    </w:p>
    <w:p>
      <w:pPr>
        <w:spacing w:after="0"/>
        <w:ind w:left="0"/>
        <w:jc w:val="both"/>
      </w:pPr>
      <w:r>
        <w:rPr>
          <w:rFonts w:ascii="Times New Roman"/>
          <w:b w:val="false"/>
          <w:i w:val="false"/>
          <w:color w:val="000000"/>
          <w:sz w:val="28"/>
        </w:rPr>
        <w:t>
      лимиты гэп-позиций на основании ежеквартально проводимого подразделением, осуществляющим управление рисками, анализа гэп - позиций;</w:t>
      </w:r>
    </w:p>
    <w:p>
      <w:pPr>
        <w:spacing w:after="0"/>
        <w:ind w:left="0"/>
        <w:jc w:val="both"/>
      </w:pPr>
      <w:r>
        <w:rPr>
          <w:rFonts w:ascii="Times New Roman"/>
          <w:b w:val="false"/>
          <w:i w:val="false"/>
          <w:color w:val="000000"/>
          <w:sz w:val="28"/>
        </w:rPr>
        <w:t>
      лимит открытой позиции на трейдера в случае предоставления трейдеру возможности осуществлять торговые операции в пределах установленной суммы;</w:t>
      </w:r>
    </w:p>
    <w:p>
      <w:pPr>
        <w:spacing w:after="0"/>
        <w:ind w:left="0"/>
        <w:jc w:val="both"/>
      </w:pPr>
      <w:r>
        <w:rPr>
          <w:rFonts w:ascii="Times New Roman"/>
          <w:b w:val="false"/>
          <w:i w:val="false"/>
          <w:color w:val="000000"/>
          <w:sz w:val="28"/>
        </w:rPr>
        <w:t xml:space="preserve">
      3) определяет максимальные допустимые размеры убытков по активам клиентов, принятых в инвестиционное управление. </w:t>
      </w:r>
    </w:p>
    <w:bookmarkStart w:name="z92" w:id="133"/>
    <w:p>
      <w:pPr>
        <w:spacing w:after="0"/>
        <w:ind w:left="0"/>
        <w:jc w:val="left"/>
      </w:pPr>
      <w:r>
        <w:rPr>
          <w:rFonts w:ascii="Times New Roman"/>
          <w:b/>
          <w:i w:val="false"/>
          <w:color w:val="000000"/>
        </w:rPr>
        <w:t xml:space="preserve"> Глава 5. Требования к организации деятельности инвестиционного комитета Управляющего и брокера и (или) дилера, являющегося Управляющим</w:t>
      </w:r>
    </w:p>
    <w:bookmarkEnd w:id="133"/>
    <w:p>
      <w:pPr>
        <w:spacing w:after="0"/>
        <w:ind w:left="0"/>
        <w:jc w:val="both"/>
      </w:pPr>
      <w:r>
        <w:rPr>
          <w:rFonts w:ascii="Times New Roman"/>
          <w:b w:val="false"/>
          <w:i w:val="false"/>
          <w:color w:val="ff0000"/>
          <w:sz w:val="28"/>
        </w:rPr>
        <w:t xml:space="preserve">
      Сноска. Заголовок главы 5 -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 w:id="134"/>
    <w:p>
      <w:pPr>
        <w:spacing w:after="0"/>
        <w:ind w:left="0"/>
        <w:jc w:val="both"/>
      </w:pPr>
      <w:r>
        <w:rPr>
          <w:rFonts w:ascii="Times New Roman"/>
          <w:b w:val="false"/>
          <w:i w:val="false"/>
          <w:color w:val="000000"/>
          <w:sz w:val="28"/>
        </w:rPr>
        <w:t>
      48. Принятие решений о заключении сделок с финансовыми инструментами за счет активов клиентов, принятых в инвестиционное управление, и собственных средств Управляющего или брокера и (или) дилера, являющегося Управляющим, осуществляется инвестиционным комитетом Управляющего или брокера и (или) дилера, являющегося Управляющим, в состав которого входят:</w:t>
      </w:r>
    </w:p>
    <w:bookmarkEnd w:id="134"/>
    <w:p>
      <w:pPr>
        <w:spacing w:after="0"/>
        <w:ind w:left="0"/>
        <w:jc w:val="both"/>
      </w:pPr>
      <w:r>
        <w:rPr>
          <w:rFonts w:ascii="Times New Roman"/>
          <w:b w:val="false"/>
          <w:i w:val="false"/>
          <w:color w:val="000000"/>
          <w:sz w:val="28"/>
        </w:rPr>
        <w:t>
      1) руководящие работники;</w:t>
      </w:r>
    </w:p>
    <w:p>
      <w:pPr>
        <w:spacing w:after="0"/>
        <w:ind w:left="0"/>
        <w:jc w:val="both"/>
      </w:pPr>
      <w:r>
        <w:rPr>
          <w:rFonts w:ascii="Times New Roman"/>
          <w:b w:val="false"/>
          <w:i w:val="false"/>
          <w:color w:val="000000"/>
          <w:sz w:val="28"/>
        </w:rPr>
        <w:t>
      2) руководитель подразделения, осуществляющего управление рисками;</w:t>
      </w:r>
    </w:p>
    <w:p>
      <w:pPr>
        <w:spacing w:after="0"/>
        <w:ind w:left="0"/>
        <w:jc w:val="both"/>
      </w:pPr>
      <w:r>
        <w:rPr>
          <w:rFonts w:ascii="Times New Roman"/>
          <w:b w:val="false"/>
          <w:i w:val="false"/>
          <w:color w:val="000000"/>
          <w:sz w:val="28"/>
        </w:rPr>
        <w:t>
      3) иные работники Управляющего или брокера и (или) дилера, являющегося Управляющим.</w:t>
      </w:r>
    </w:p>
    <w:bookmarkStart w:name="z94" w:id="135"/>
    <w:p>
      <w:pPr>
        <w:spacing w:after="0"/>
        <w:ind w:left="0"/>
        <w:jc w:val="both"/>
      </w:pPr>
      <w:r>
        <w:rPr>
          <w:rFonts w:ascii="Times New Roman"/>
          <w:b w:val="false"/>
          <w:i w:val="false"/>
          <w:color w:val="000000"/>
          <w:sz w:val="28"/>
        </w:rPr>
        <w:t>
      49. В состав инвестиционного комитета Управляющего с правом привлечения добровольных пенсионных взносов, входят:</w:t>
      </w:r>
    </w:p>
    <w:bookmarkEnd w:id="135"/>
    <w:bookmarkStart w:name="z508" w:id="136"/>
    <w:p>
      <w:pPr>
        <w:spacing w:after="0"/>
        <w:ind w:left="0"/>
        <w:jc w:val="both"/>
      </w:pPr>
      <w:r>
        <w:rPr>
          <w:rFonts w:ascii="Times New Roman"/>
          <w:b w:val="false"/>
          <w:i w:val="false"/>
          <w:color w:val="000000"/>
          <w:sz w:val="28"/>
        </w:rPr>
        <w:t>
      1) руководящие работники;</w:t>
      </w:r>
    </w:p>
    <w:bookmarkEnd w:id="136"/>
    <w:bookmarkStart w:name="z509" w:id="137"/>
    <w:p>
      <w:pPr>
        <w:spacing w:after="0"/>
        <w:ind w:left="0"/>
        <w:jc w:val="both"/>
      </w:pPr>
      <w:r>
        <w:rPr>
          <w:rFonts w:ascii="Times New Roman"/>
          <w:b w:val="false"/>
          <w:i w:val="false"/>
          <w:color w:val="000000"/>
          <w:sz w:val="28"/>
        </w:rPr>
        <w:t>
      2) руководитель подразделения, осуществляющего управление рисками;</w:t>
      </w:r>
    </w:p>
    <w:bookmarkEnd w:id="137"/>
    <w:bookmarkStart w:name="z510" w:id="138"/>
    <w:p>
      <w:pPr>
        <w:spacing w:after="0"/>
        <w:ind w:left="0"/>
        <w:jc w:val="both"/>
      </w:pPr>
      <w:r>
        <w:rPr>
          <w:rFonts w:ascii="Times New Roman"/>
          <w:b w:val="false"/>
          <w:i w:val="false"/>
          <w:color w:val="000000"/>
          <w:sz w:val="28"/>
        </w:rPr>
        <w:t>
      3) работники Управляющего, которые одновременно не являются руководящими работниками либо крупными акционерами юридических лиц, аффилиированных по отношению к Управляющему.</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постановления Правления Агентства РК по регулированию и развитию финансового рынка от 15.02.2021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139"/>
    <w:p>
      <w:pPr>
        <w:spacing w:after="0"/>
        <w:ind w:left="0"/>
        <w:jc w:val="both"/>
      </w:pPr>
      <w:r>
        <w:rPr>
          <w:rFonts w:ascii="Times New Roman"/>
          <w:b w:val="false"/>
          <w:i w:val="false"/>
          <w:color w:val="000000"/>
          <w:sz w:val="28"/>
        </w:rPr>
        <w:t>
      50. В состав инвестиционного комитета Управляющего осуществляющего в соответствии с договором, заключенным с Национальным Банком Республики Казахстан, управление пенсионными активами входят:</w:t>
      </w:r>
    </w:p>
    <w:bookmarkEnd w:id="139"/>
    <w:p>
      <w:pPr>
        <w:spacing w:after="0"/>
        <w:ind w:left="0"/>
        <w:jc w:val="both"/>
      </w:pPr>
      <w:r>
        <w:rPr>
          <w:rFonts w:ascii="Times New Roman"/>
          <w:b w:val="false"/>
          <w:i w:val="false"/>
          <w:color w:val="000000"/>
          <w:sz w:val="28"/>
        </w:rPr>
        <w:t>
      1) руководящие работники;</w:t>
      </w:r>
    </w:p>
    <w:p>
      <w:pPr>
        <w:spacing w:after="0"/>
        <w:ind w:left="0"/>
        <w:jc w:val="both"/>
      </w:pPr>
      <w:r>
        <w:rPr>
          <w:rFonts w:ascii="Times New Roman"/>
          <w:b w:val="false"/>
          <w:i w:val="false"/>
          <w:color w:val="000000"/>
          <w:sz w:val="28"/>
        </w:rPr>
        <w:t>
      2) руководитель подразделения, осуществляющего управление рисками;</w:t>
      </w:r>
    </w:p>
    <w:p>
      <w:pPr>
        <w:spacing w:after="0"/>
        <w:ind w:left="0"/>
        <w:jc w:val="both"/>
      </w:pPr>
      <w:r>
        <w:rPr>
          <w:rFonts w:ascii="Times New Roman"/>
          <w:b w:val="false"/>
          <w:i w:val="false"/>
          <w:color w:val="000000"/>
          <w:sz w:val="28"/>
        </w:rPr>
        <w:t>
      3) работники Управляющего, которые одновременно не являются руководящими работниками либо крупными акционерами юридических лиц, аффилиированных по отношению к Управляющему.</w:t>
      </w:r>
    </w:p>
    <w:bookmarkStart w:name="z96" w:id="140"/>
    <w:p>
      <w:pPr>
        <w:spacing w:after="0"/>
        <w:ind w:left="0"/>
        <w:jc w:val="both"/>
      </w:pPr>
      <w:r>
        <w:rPr>
          <w:rFonts w:ascii="Times New Roman"/>
          <w:b w:val="false"/>
          <w:i w:val="false"/>
          <w:color w:val="000000"/>
          <w:sz w:val="28"/>
        </w:rPr>
        <w:t>
      51. Допускается совмещение функций по принятию решений о заключении сделок с финансовыми инструментами за счет активов клиентов, принятых в инвестиционное управление (за исключением пенсионных активов, принятых в управление в соответствии с договором, заключенным с Национальным Банком Республики Казахстан, и пенсионных активов, находящихся в доверительном управлении) и (или) собственных средств Управляющего или брокера и (или) дилера, являющегося Управляющим, инвестиционным комитетом, соответствующим требованиям, установленным пунктом 48 и 49 Правил.</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постановления Правления Агентства РК по регулированию и развитию финансового рынка от 15.02.2021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41"/>
    <w:p>
      <w:pPr>
        <w:spacing w:after="0"/>
        <w:ind w:left="0"/>
        <w:jc w:val="both"/>
      </w:pPr>
      <w:r>
        <w:rPr>
          <w:rFonts w:ascii="Times New Roman"/>
          <w:b w:val="false"/>
          <w:i w:val="false"/>
          <w:color w:val="000000"/>
          <w:sz w:val="28"/>
        </w:rPr>
        <w:t>
      52. По итогам проведения заседания инвестиционного комитета составляется протокол с указанием:</w:t>
      </w:r>
    </w:p>
    <w:bookmarkEnd w:id="141"/>
    <w:p>
      <w:pPr>
        <w:spacing w:after="0"/>
        <w:ind w:left="0"/>
        <w:jc w:val="both"/>
      </w:pPr>
      <w:r>
        <w:rPr>
          <w:rFonts w:ascii="Times New Roman"/>
          <w:b w:val="false"/>
          <w:i w:val="false"/>
          <w:color w:val="000000"/>
          <w:sz w:val="28"/>
        </w:rPr>
        <w:t>
      перечня рассматриваемых на заседании вопросов;</w:t>
      </w:r>
    </w:p>
    <w:p>
      <w:pPr>
        <w:spacing w:after="0"/>
        <w:ind w:left="0"/>
        <w:jc w:val="both"/>
      </w:pPr>
      <w:r>
        <w:rPr>
          <w:rFonts w:ascii="Times New Roman"/>
          <w:b w:val="false"/>
          <w:i w:val="false"/>
          <w:color w:val="000000"/>
          <w:sz w:val="28"/>
        </w:rPr>
        <w:t>
      перечня документов, представленных инвестиционному комитету для принятия инвестиционного решения;</w:t>
      </w:r>
    </w:p>
    <w:p>
      <w:pPr>
        <w:spacing w:after="0"/>
        <w:ind w:left="0"/>
        <w:jc w:val="both"/>
      </w:pPr>
      <w:r>
        <w:rPr>
          <w:rFonts w:ascii="Times New Roman"/>
          <w:b w:val="false"/>
          <w:i w:val="false"/>
          <w:color w:val="000000"/>
          <w:sz w:val="28"/>
        </w:rPr>
        <w:t>
      параметров инвестиционных решений, принятых на данном заседании, с указанием наименования финансовых инструментов, а также условий совершения сделок с ними;</w:t>
      </w:r>
    </w:p>
    <w:p>
      <w:pPr>
        <w:spacing w:after="0"/>
        <w:ind w:left="0"/>
        <w:jc w:val="both"/>
      </w:pPr>
      <w:r>
        <w:rPr>
          <w:rFonts w:ascii="Times New Roman"/>
          <w:b w:val="false"/>
          <w:i w:val="false"/>
          <w:color w:val="000000"/>
          <w:sz w:val="28"/>
        </w:rPr>
        <w:t>
      итогов голосования по каждому вопросу, рассматриваемому на заседании;</w:t>
      </w:r>
    </w:p>
    <w:p>
      <w:pPr>
        <w:spacing w:after="0"/>
        <w:ind w:left="0"/>
        <w:jc w:val="both"/>
      </w:pPr>
      <w:r>
        <w:rPr>
          <w:rFonts w:ascii="Times New Roman"/>
          <w:b w:val="false"/>
          <w:i w:val="false"/>
          <w:color w:val="000000"/>
          <w:sz w:val="28"/>
        </w:rPr>
        <w:t>
      мнения членов инвестиционного комитета с обоснованием, в том числе в случае их несогласия с принятым решением, и наличия мнения (выраженного при принятии решения), отличного от принятого инвестиционного решения;</w:t>
      </w:r>
    </w:p>
    <w:p>
      <w:pPr>
        <w:spacing w:after="0"/>
        <w:ind w:left="0"/>
        <w:jc w:val="both"/>
      </w:pPr>
      <w:r>
        <w:rPr>
          <w:rFonts w:ascii="Times New Roman"/>
          <w:b w:val="false"/>
          <w:i w:val="false"/>
          <w:color w:val="000000"/>
          <w:sz w:val="28"/>
        </w:rPr>
        <w:t xml:space="preserve">
      сведения о возникновении ситуаций, указанных в подпункте 1) </w:t>
      </w:r>
      <w:r>
        <w:rPr>
          <w:rFonts w:ascii="Times New Roman"/>
          <w:b w:val="false"/>
          <w:i w:val="false"/>
          <w:color w:val="000000"/>
          <w:sz w:val="28"/>
        </w:rPr>
        <w:t>пункта 34</w:t>
      </w:r>
      <w:r>
        <w:rPr>
          <w:rFonts w:ascii="Times New Roman"/>
          <w:b w:val="false"/>
          <w:i w:val="false"/>
          <w:color w:val="000000"/>
          <w:sz w:val="28"/>
        </w:rPr>
        <w:t xml:space="preserve"> Правил.</w:t>
      </w:r>
    </w:p>
    <w:bookmarkStart w:name="z98" w:id="142"/>
    <w:p>
      <w:pPr>
        <w:spacing w:after="0"/>
        <w:ind w:left="0"/>
        <w:jc w:val="both"/>
      </w:pPr>
      <w:r>
        <w:rPr>
          <w:rFonts w:ascii="Times New Roman"/>
          <w:b w:val="false"/>
          <w:i w:val="false"/>
          <w:color w:val="000000"/>
          <w:sz w:val="28"/>
        </w:rPr>
        <w:t>
      53. Протокол подписывается всеми членами инвестиционного комитета, присутствующими на заседании, и хранится на бумажном носителе и (или) в форме электронного документа, заверенного электронными цифровыми подписями членов инвестиционного комитета, присутствующими на заседании, при обеспечении конфиденциальности и некорректируемости данных, вместе с инвестиционными решениями, принятыми инвестиционным комитетом, в течение пяти лет.</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43"/>
    <w:p>
      <w:pPr>
        <w:spacing w:after="0"/>
        <w:ind w:left="0"/>
        <w:jc w:val="both"/>
      </w:pPr>
      <w:r>
        <w:rPr>
          <w:rFonts w:ascii="Times New Roman"/>
          <w:b w:val="false"/>
          <w:i w:val="false"/>
          <w:color w:val="000000"/>
          <w:sz w:val="28"/>
        </w:rPr>
        <w:t>
      54. Инвестиционное решение принимается в отношении совершения как одной, так и нескольких сделок с финансовыми инструментами.</w:t>
      </w:r>
    </w:p>
    <w:bookmarkEnd w:id="143"/>
    <w:p>
      <w:pPr>
        <w:spacing w:after="0"/>
        <w:ind w:left="0"/>
        <w:jc w:val="both"/>
      </w:pPr>
      <w:r>
        <w:rPr>
          <w:rFonts w:ascii="Times New Roman"/>
          <w:b w:val="false"/>
          <w:i w:val="false"/>
          <w:color w:val="000000"/>
          <w:sz w:val="28"/>
        </w:rPr>
        <w:t>
      Принятие инвестиционного решения не требуется в отношении сделок по покупке иностранной валюты в случае, если иностранная валюта приобретается для совершения сделок по покупке ценных бумаг, расчеты по которым осуществляются в иностранной валюте и (или) для оплаты административных расходов и (или) погашения обязательств брокера и (или) дилера, Управляющего, выраженных в иностранной валюте.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44"/>
    <w:p>
      <w:pPr>
        <w:spacing w:after="0"/>
        <w:ind w:left="0"/>
        <w:jc w:val="both"/>
      </w:pPr>
      <w:r>
        <w:rPr>
          <w:rFonts w:ascii="Times New Roman"/>
          <w:b w:val="false"/>
          <w:i w:val="false"/>
          <w:color w:val="000000"/>
          <w:sz w:val="28"/>
        </w:rPr>
        <w:t>
      55. Инвестиционное решение для совершения сделки с финансовыми инструментами содержит:</w:t>
      </w:r>
    </w:p>
    <w:bookmarkEnd w:id="144"/>
    <w:p>
      <w:pPr>
        <w:spacing w:after="0"/>
        <w:ind w:left="0"/>
        <w:jc w:val="both"/>
      </w:pPr>
      <w:r>
        <w:rPr>
          <w:rFonts w:ascii="Times New Roman"/>
          <w:b w:val="false"/>
          <w:i w:val="false"/>
          <w:color w:val="000000"/>
          <w:sz w:val="28"/>
        </w:rPr>
        <w:t>
      1) дату принятия и номер инвестиционного решения;</w:t>
      </w:r>
    </w:p>
    <w:p>
      <w:pPr>
        <w:spacing w:after="0"/>
        <w:ind w:left="0"/>
        <w:jc w:val="both"/>
      </w:pPr>
      <w:r>
        <w:rPr>
          <w:rFonts w:ascii="Times New Roman"/>
          <w:b w:val="false"/>
          <w:i w:val="false"/>
          <w:color w:val="000000"/>
          <w:sz w:val="28"/>
        </w:rPr>
        <w:t>
      2) дату выдачи и номер рекомендации, на основании которой было принято инвестиционное решение;</w:t>
      </w:r>
    </w:p>
    <w:p>
      <w:pPr>
        <w:spacing w:after="0"/>
        <w:ind w:left="0"/>
        <w:jc w:val="both"/>
      </w:pPr>
      <w:r>
        <w:rPr>
          <w:rFonts w:ascii="Times New Roman"/>
          <w:b w:val="false"/>
          <w:i w:val="false"/>
          <w:color w:val="000000"/>
          <w:sz w:val="28"/>
        </w:rPr>
        <w:t>
      3) вид сделки, подлежащей совершению;</w:t>
      </w:r>
    </w:p>
    <w:p>
      <w:pPr>
        <w:spacing w:after="0"/>
        <w:ind w:left="0"/>
        <w:jc w:val="both"/>
      </w:pPr>
      <w:r>
        <w:rPr>
          <w:rFonts w:ascii="Times New Roman"/>
          <w:b w:val="false"/>
          <w:i w:val="false"/>
          <w:color w:val="000000"/>
          <w:sz w:val="28"/>
        </w:rPr>
        <w:t>
      4) идентификатор финансового инструмента (финансовых инструментов), по которому (которым) должна быть совершена сделка;</w:t>
      </w:r>
    </w:p>
    <w:p>
      <w:pPr>
        <w:spacing w:after="0"/>
        <w:ind w:left="0"/>
        <w:jc w:val="both"/>
      </w:pPr>
      <w:r>
        <w:rPr>
          <w:rFonts w:ascii="Times New Roman"/>
          <w:b w:val="false"/>
          <w:i w:val="false"/>
          <w:color w:val="000000"/>
          <w:sz w:val="28"/>
        </w:rPr>
        <w:t>
      5) объем, цену и сумму (диапазон объема, цены и суммы) сделки, подлежащей совершению;</w:t>
      </w:r>
    </w:p>
    <w:p>
      <w:pPr>
        <w:spacing w:after="0"/>
        <w:ind w:left="0"/>
        <w:jc w:val="both"/>
      </w:pPr>
      <w:r>
        <w:rPr>
          <w:rFonts w:ascii="Times New Roman"/>
          <w:b w:val="false"/>
          <w:i w:val="false"/>
          <w:color w:val="000000"/>
          <w:sz w:val="28"/>
        </w:rPr>
        <w:t>
      6) сроки совершения сделки;</w:t>
      </w:r>
    </w:p>
    <w:p>
      <w:pPr>
        <w:spacing w:after="0"/>
        <w:ind w:left="0"/>
        <w:jc w:val="both"/>
      </w:pPr>
      <w:r>
        <w:rPr>
          <w:rFonts w:ascii="Times New Roman"/>
          <w:b w:val="false"/>
          <w:i w:val="false"/>
          <w:color w:val="000000"/>
          <w:sz w:val="28"/>
        </w:rPr>
        <w:t>
      7) указание на тип рынка (первичный или вторичный, организованный или неорганизованный, международный рынки), на котором предполагается совершение сделки;</w:t>
      </w:r>
    </w:p>
    <w:p>
      <w:pPr>
        <w:spacing w:after="0"/>
        <w:ind w:left="0"/>
        <w:jc w:val="both"/>
      </w:pPr>
      <w:r>
        <w:rPr>
          <w:rFonts w:ascii="Times New Roman"/>
          <w:b w:val="false"/>
          <w:i w:val="false"/>
          <w:color w:val="000000"/>
          <w:sz w:val="28"/>
        </w:rPr>
        <w:t>
      8) указание лимита открытой позиции на трейдера в случае предоставления трейдеру возможности осуществлять торговые операции в пределах установленной суммы;</w:t>
      </w:r>
    </w:p>
    <w:p>
      <w:pPr>
        <w:spacing w:after="0"/>
        <w:ind w:left="0"/>
        <w:jc w:val="both"/>
      </w:pPr>
      <w:r>
        <w:rPr>
          <w:rFonts w:ascii="Times New Roman"/>
          <w:b w:val="false"/>
          <w:i w:val="false"/>
          <w:color w:val="000000"/>
          <w:sz w:val="28"/>
        </w:rPr>
        <w:t>
      9) наименование посредника (организации, осуществляющей брокерскую деятельность на рынке ценных бумаг), с помощью которого предполагается совершение сделки (при наличии такового);</w:t>
      </w:r>
    </w:p>
    <w:p>
      <w:pPr>
        <w:spacing w:after="0"/>
        <w:ind w:left="0"/>
        <w:jc w:val="both"/>
      </w:pPr>
      <w:r>
        <w:rPr>
          <w:rFonts w:ascii="Times New Roman"/>
          <w:b w:val="false"/>
          <w:i w:val="false"/>
          <w:color w:val="000000"/>
          <w:sz w:val="28"/>
        </w:rPr>
        <w:t>
      10) сведения о клиенте, за счет активов которого предполагается совершение сделки, либо указание на то, что инвестиционное решение принимается в отношении собственных активов;</w:t>
      </w:r>
    </w:p>
    <w:p>
      <w:pPr>
        <w:spacing w:after="0"/>
        <w:ind w:left="0"/>
        <w:jc w:val="both"/>
      </w:pPr>
      <w:r>
        <w:rPr>
          <w:rFonts w:ascii="Times New Roman"/>
          <w:b w:val="false"/>
          <w:i w:val="false"/>
          <w:color w:val="000000"/>
          <w:sz w:val="28"/>
        </w:rPr>
        <w:t>
      11) указание на наличие у кого-либо из членов инвестиционного комитета особого мнения в отношении принятия (отклонения) инвестиционного решения;</w:t>
      </w:r>
    </w:p>
    <w:p>
      <w:pPr>
        <w:spacing w:after="0"/>
        <w:ind w:left="0"/>
        <w:jc w:val="both"/>
      </w:pPr>
      <w:r>
        <w:rPr>
          <w:rFonts w:ascii="Times New Roman"/>
          <w:b w:val="false"/>
          <w:i w:val="false"/>
          <w:color w:val="000000"/>
          <w:sz w:val="28"/>
        </w:rPr>
        <w:t>
      12) подписи лиц, принявших инвестиционное решение с указанием их занимаемых должностей.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изменением, внесенным постановлением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45"/>
    <w:p>
      <w:pPr>
        <w:spacing w:after="0"/>
        <w:ind w:left="0"/>
        <w:jc w:val="both"/>
      </w:pPr>
      <w:r>
        <w:rPr>
          <w:rFonts w:ascii="Times New Roman"/>
          <w:b w:val="false"/>
          <w:i w:val="false"/>
          <w:color w:val="000000"/>
          <w:sz w:val="28"/>
        </w:rPr>
        <w:t xml:space="preserve">
      56. Инвестиционное решение для совершения сделки с инструментами хеджирования помимо сведений, указанных в подпунктах 1) - 3), 7) - 12) </w:t>
      </w:r>
      <w:r>
        <w:rPr>
          <w:rFonts w:ascii="Times New Roman"/>
          <w:b w:val="false"/>
          <w:i w:val="false"/>
          <w:color w:val="000000"/>
          <w:sz w:val="28"/>
        </w:rPr>
        <w:t>пункта 55</w:t>
      </w:r>
      <w:r>
        <w:rPr>
          <w:rFonts w:ascii="Times New Roman"/>
          <w:b w:val="false"/>
          <w:i w:val="false"/>
          <w:color w:val="000000"/>
          <w:sz w:val="28"/>
        </w:rPr>
        <w:t xml:space="preserve"> Правил, содержит:</w:t>
      </w:r>
    </w:p>
    <w:bookmarkEnd w:id="145"/>
    <w:p>
      <w:pPr>
        <w:spacing w:after="0"/>
        <w:ind w:left="0"/>
        <w:jc w:val="both"/>
      </w:pPr>
      <w:r>
        <w:rPr>
          <w:rFonts w:ascii="Times New Roman"/>
          <w:b w:val="false"/>
          <w:i w:val="false"/>
          <w:color w:val="000000"/>
          <w:sz w:val="28"/>
        </w:rPr>
        <w:t>
      1) подробное описание инструмента хеджирования с указанием вида, срока его заключения, объема, стоимости (премии), рынка, на котором планируется совершение операции хеджирования, и других характеристик (условий) данного инструмента;</w:t>
      </w:r>
    </w:p>
    <w:p>
      <w:pPr>
        <w:spacing w:after="0"/>
        <w:ind w:left="0"/>
        <w:jc w:val="both"/>
      </w:pPr>
      <w:r>
        <w:rPr>
          <w:rFonts w:ascii="Times New Roman"/>
          <w:b w:val="false"/>
          <w:i w:val="false"/>
          <w:color w:val="000000"/>
          <w:sz w:val="28"/>
        </w:rPr>
        <w:t>
      2) ожидаемые результаты от применения данного инструмента хеджирования;</w:t>
      </w:r>
    </w:p>
    <w:p>
      <w:pPr>
        <w:spacing w:after="0"/>
        <w:ind w:left="0"/>
        <w:jc w:val="both"/>
      </w:pPr>
      <w:r>
        <w:rPr>
          <w:rFonts w:ascii="Times New Roman"/>
          <w:b w:val="false"/>
          <w:i w:val="false"/>
          <w:color w:val="000000"/>
          <w:sz w:val="28"/>
        </w:rPr>
        <w:t>
      3) оценку риска объекта хеджирования (базового актива) с указанием его вида (процентный, ценовой, валютный и других видов), а также метода его оценки;</w:t>
      </w:r>
    </w:p>
    <w:p>
      <w:pPr>
        <w:spacing w:after="0"/>
        <w:ind w:left="0"/>
        <w:jc w:val="both"/>
      </w:pPr>
      <w:r>
        <w:rPr>
          <w:rFonts w:ascii="Times New Roman"/>
          <w:b w:val="false"/>
          <w:i w:val="false"/>
          <w:color w:val="000000"/>
          <w:sz w:val="28"/>
        </w:rPr>
        <w:t>
      4) объект хеджирования с указанием необходимых реквизитов (идентификационный номер, количество, стоимость, объем, валюта);</w:t>
      </w:r>
    </w:p>
    <w:p>
      <w:pPr>
        <w:spacing w:after="0"/>
        <w:ind w:left="0"/>
        <w:jc w:val="both"/>
      </w:pPr>
      <w:r>
        <w:rPr>
          <w:rFonts w:ascii="Times New Roman"/>
          <w:b w:val="false"/>
          <w:i w:val="false"/>
          <w:color w:val="000000"/>
          <w:sz w:val="28"/>
        </w:rPr>
        <w:t>
      5) расчет, подтверждающий, что совершение данной операции приведет к снижению размера возможных убытков (недополучения дохода) по объекту хеджирования.</w:t>
      </w:r>
    </w:p>
    <w:bookmarkStart w:name="z438" w:id="146"/>
    <w:p>
      <w:pPr>
        <w:spacing w:after="0"/>
        <w:ind w:left="0"/>
        <w:jc w:val="both"/>
      </w:pPr>
      <w:r>
        <w:rPr>
          <w:rFonts w:ascii="Times New Roman"/>
          <w:b w:val="false"/>
          <w:i w:val="false"/>
          <w:color w:val="000000"/>
          <w:sz w:val="28"/>
        </w:rPr>
        <w:t xml:space="preserve">
      56-1. Инвестиционное решение по инвестированию активов клиентов, принятых в инвестиционное управление, и (или) собственных активов брокера и (или) дилера, Управляющего, брокера и (или) дилера, являющегося Управляющим, с использованием алгоритмического трейдинга, помимо сведений, указанных в подпунктах 1), 2), 10), 11) 12) </w:t>
      </w:r>
      <w:r>
        <w:rPr>
          <w:rFonts w:ascii="Times New Roman"/>
          <w:b w:val="false"/>
          <w:i w:val="false"/>
          <w:color w:val="000000"/>
          <w:sz w:val="28"/>
        </w:rPr>
        <w:t>пункта 55</w:t>
      </w:r>
      <w:r>
        <w:rPr>
          <w:rFonts w:ascii="Times New Roman"/>
          <w:b w:val="false"/>
          <w:i w:val="false"/>
          <w:color w:val="000000"/>
          <w:sz w:val="28"/>
        </w:rPr>
        <w:t xml:space="preserve"> Правил, содержит:</w:t>
      </w:r>
    </w:p>
    <w:bookmarkEnd w:id="146"/>
    <w:p>
      <w:pPr>
        <w:spacing w:after="0"/>
        <w:ind w:left="0"/>
        <w:jc w:val="both"/>
      </w:pPr>
      <w:r>
        <w:rPr>
          <w:rFonts w:ascii="Times New Roman"/>
          <w:b w:val="false"/>
          <w:i w:val="false"/>
          <w:color w:val="000000"/>
          <w:sz w:val="28"/>
        </w:rPr>
        <w:t>
      1) наименование применяемой алгоритмической стратегии;</w:t>
      </w:r>
    </w:p>
    <w:p>
      <w:pPr>
        <w:spacing w:after="0"/>
        <w:ind w:left="0"/>
        <w:jc w:val="both"/>
      </w:pPr>
      <w:r>
        <w:rPr>
          <w:rFonts w:ascii="Times New Roman"/>
          <w:b w:val="false"/>
          <w:i w:val="false"/>
          <w:color w:val="000000"/>
          <w:sz w:val="28"/>
        </w:rPr>
        <w:t>
      2) сумму, подлежащей инвестированию с применением алгоритмической стратегии;</w:t>
      </w:r>
    </w:p>
    <w:p>
      <w:pPr>
        <w:spacing w:after="0"/>
        <w:ind w:left="0"/>
        <w:jc w:val="both"/>
      </w:pPr>
      <w:r>
        <w:rPr>
          <w:rFonts w:ascii="Times New Roman"/>
          <w:b w:val="false"/>
          <w:i w:val="false"/>
          <w:color w:val="000000"/>
          <w:sz w:val="28"/>
        </w:rPr>
        <w:t>
      3) виды финансовых инструментов (при необходимости);</w:t>
      </w:r>
    </w:p>
    <w:p>
      <w:pPr>
        <w:spacing w:after="0"/>
        <w:ind w:left="0"/>
        <w:jc w:val="both"/>
      </w:pPr>
      <w:r>
        <w:rPr>
          <w:rFonts w:ascii="Times New Roman"/>
          <w:b w:val="false"/>
          <w:i w:val="false"/>
          <w:color w:val="000000"/>
          <w:sz w:val="28"/>
        </w:rPr>
        <w:t>
      4) срок действия алгоритмической стратегии;</w:t>
      </w:r>
    </w:p>
    <w:p>
      <w:pPr>
        <w:spacing w:after="0"/>
        <w:ind w:left="0"/>
        <w:jc w:val="both"/>
      </w:pPr>
      <w:r>
        <w:rPr>
          <w:rFonts w:ascii="Times New Roman"/>
          <w:b w:val="false"/>
          <w:i w:val="false"/>
          <w:color w:val="000000"/>
          <w:sz w:val="28"/>
        </w:rPr>
        <w:t>
      5) ожидаемая доходность от применения данной алгоритмической стратегии;</w:t>
      </w:r>
    </w:p>
    <w:p>
      <w:pPr>
        <w:spacing w:after="0"/>
        <w:ind w:left="0"/>
        <w:jc w:val="both"/>
      </w:pPr>
      <w:r>
        <w:rPr>
          <w:rFonts w:ascii="Times New Roman"/>
          <w:b w:val="false"/>
          <w:i w:val="false"/>
          <w:color w:val="000000"/>
          <w:sz w:val="28"/>
        </w:rPr>
        <w:t>
      6) максимально допустимый размер убытка от суммы, определенной для инвестирования.</w:t>
      </w:r>
    </w:p>
    <w:p>
      <w:pPr>
        <w:spacing w:after="0"/>
        <w:ind w:left="0"/>
        <w:jc w:val="both"/>
      </w:pPr>
      <w:r>
        <w:rPr>
          <w:rFonts w:ascii="Times New Roman"/>
          <w:b w:val="false"/>
          <w:i w:val="false"/>
          <w:color w:val="000000"/>
          <w:sz w:val="28"/>
        </w:rPr>
        <w:t>
      Принятие отдельных инвестиционных решений для совершения сделок в рамках инвестиционного решения, указанного в части первой настоящего пункта,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56-1 в соответствии с постановлением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47"/>
    <w:p>
      <w:pPr>
        <w:spacing w:after="0"/>
        <w:ind w:left="0"/>
        <w:jc w:val="both"/>
      </w:pPr>
      <w:r>
        <w:rPr>
          <w:rFonts w:ascii="Times New Roman"/>
          <w:b w:val="false"/>
          <w:i w:val="false"/>
          <w:color w:val="000000"/>
          <w:sz w:val="28"/>
        </w:rPr>
        <w:t>
      57. Принятое инвестиционное решение передается на исполнение подразделению Управляющего или брокера и (или) дилера, являющегося Управляющим, осуществляющему заключение сделок с финансовыми инструментами, либо организации, предоставляющей услуги по заключению сделок с финансовыми инструментами.</w:t>
      </w:r>
    </w:p>
    <w:bookmarkEnd w:id="147"/>
    <w:bookmarkStart w:name="z103" w:id="148"/>
    <w:p>
      <w:pPr>
        <w:spacing w:after="0"/>
        <w:ind w:left="0"/>
        <w:jc w:val="left"/>
      </w:pPr>
      <w:r>
        <w:rPr>
          <w:rFonts w:ascii="Times New Roman"/>
          <w:b/>
          <w:i w:val="false"/>
          <w:color w:val="000000"/>
        </w:rPr>
        <w:t xml:space="preserve"> Глава 6. Требования к организации мониторинга рисков, в процессе инвестиционной деятельности Управляющего или брокера и (или) дилера, являющегося Управляющим</w:t>
      </w:r>
    </w:p>
    <w:bookmarkEnd w:id="148"/>
    <w:p>
      <w:pPr>
        <w:spacing w:after="0"/>
        <w:ind w:left="0"/>
        <w:jc w:val="both"/>
      </w:pPr>
      <w:r>
        <w:rPr>
          <w:rFonts w:ascii="Times New Roman"/>
          <w:b w:val="false"/>
          <w:i w:val="false"/>
          <w:color w:val="ff0000"/>
          <w:sz w:val="28"/>
        </w:rPr>
        <w:t xml:space="preserve">
      Сноска. Заголовок главы 6 -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 w:id="149"/>
    <w:p>
      <w:pPr>
        <w:spacing w:after="0"/>
        <w:ind w:left="0"/>
        <w:jc w:val="both"/>
      </w:pPr>
      <w:r>
        <w:rPr>
          <w:rFonts w:ascii="Times New Roman"/>
          <w:b w:val="false"/>
          <w:i w:val="false"/>
          <w:color w:val="000000"/>
          <w:sz w:val="28"/>
        </w:rPr>
        <w:t>
      58. Подразделение Управляющего или брокера и (или) дилера, являющегося Управляющим, осуществляющее управление рисками, осуществляет постоянный мониторинг деятельности Управляющего или брокера и (или) дилера, являющегося Управляющим, на постоянной основе производит оценку рисков и участвует в разработке мероприятий по снижению уровня рисков, а именно:</w:t>
      </w:r>
    </w:p>
    <w:bookmarkEnd w:id="149"/>
    <w:p>
      <w:pPr>
        <w:spacing w:after="0"/>
        <w:ind w:left="0"/>
        <w:jc w:val="both"/>
      </w:pPr>
      <w:r>
        <w:rPr>
          <w:rFonts w:ascii="Times New Roman"/>
          <w:b w:val="false"/>
          <w:i w:val="false"/>
          <w:color w:val="000000"/>
          <w:sz w:val="28"/>
        </w:rPr>
        <w:t>
      1) организовывает процесс сбора информации, необходимой для анализа и оценки рисков;</w:t>
      </w:r>
    </w:p>
    <w:p>
      <w:pPr>
        <w:spacing w:after="0"/>
        <w:ind w:left="0"/>
        <w:jc w:val="both"/>
      </w:pPr>
      <w:r>
        <w:rPr>
          <w:rFonts w:ascii="Times New Roman"/>
          <w:b w:val="false"/>
          <w:i w:val="false"/>
          <w:color w:val="000000"/>
          <w:sz w:val="28"/>
        </w:rPr>
        <w:t>
      2) разрабатывает и совершенствует методологию и организует процесс анализа и оценки рисков;</w:t>
      </w:r>
    </w:p>
    <w:p>
      <w:pPr>
        <w:spacing w:after="0"/>
        <w:ind w:left="0"/>
        <w:jc w:val="both"/>
      </w:pPr>
      <w:r>
        <w:rPr>
          <w:rFonts w:ascii="Times New Roman"/>
          <w:b w:val="false"/>
          <w:i w:val="false"/>
          <w:color w:val="000000"/>
          <w:sz w:val="28"/>
        </w:rPr>
        <w:t>
      3) планирует и инициирует мероприятия по снижению уровня рисков, в том числе разрабатывает принципы хеджирования финансовых инструментов, приобретенных за счет активов клиентов (инвестиционных фондов), принятых в инвестиционное управление, и (или) собственных активов;</w:t>
      </w:r>
    </w:p>
    <w:p>
      <w:pPr>
        <w:spacing w:after="0"/>
        <w:ind w:left="0"/>
        <w:jc w:val="both"/>
      </w:pPr>
      <w:r>
        <w:rPr>
          <w:rFonts w:ascii="Times New Roman"/>
          <w:b w:val="false"/>
          <w:i w:val="false"/>
          <w:color w:val="000000"/>
          <w:sz w:val="28"/>
        </w:rPr>
        <w:t>
      4) проводит анализ:</w:t>
      </w:r>
    </w:p>
    <w:p>
      <w:pPr>
        <w:spacing w:after="0"/>
        <w:ind w:left="0"/>
        <w:jc w:val="both"/>
      </w:pPr>
      <w:r>
        <w:rPr>
          <w:rFonts w:ascii="Times New Roman"/>
          <w:b w:val="false"/>
          <w:i w:val="false"/>
          <w:color w:val="000000"/>
          <w:sz w:val="28"/>
        </w:rPr>
        <w:t>
      бухгалтерского баланса Управляющего или брокера и (или) дилера, являющегося Управляющим, а также доходов и убытков по активам клиентов (инвестиционных фондов), принятых в инвестиционное управление, и (или) собственным активам;</w:t>
      </w:r>
    </w:p>
    <w:p>
      <w:pPr>
        <w:spacing w:after="0"/>
        <w:ind w:left="0"/>
        <w:jc w:val="both"/>
      </w:pPr>
      <w:r>
        <w:rPr>
          <w:rFonts w:ascii="Times New Roman"/>
          <w:b w:val="false"/>
          <w:i w:val="false"/>
          <w:color w:val="000000"/>
          <w:sz w:val="28"/>
        </w:rPr>
        <w:t>
      снижения ликвидности, изменения цен на финансовые инструменты;</w:t>
      </w:r>
    </w:p>
    <w:p>
      <w:pPr>
        <w:spacing w:after="0"/>
        <w:ind w:left="0"/>
        <w:jc w:val="both"/>
      </w:pPr>
      <w:r>
        <w:rPr>
          <w:rFonts w:ascii="Times New Roman"/>
          <w:b w:val="false"/>
          <w:i w:val="false"/>
          <w:color w:val="000000"/>
          <w:sz w:val="28"/>
        </w:rPr>
        <w:t>
      изменения степени рисков, связанных с инвестиционным портфелем, сформированным за счет активов клиентов (инвестиционных фондов), принятых в инвестиционное управление, и (или) собственных активов;</w:t>
      </w:r>
    </w:p>
    <w:p>
      <w:pPr>
        <w:spacing w:after="0"/>
        <w:ind w:left="0"/>
        <w:jc w:val="both"/>
      </w:pPr>
      <w:r>
        <w:rPr>
          <w:rFonts w:ascii="Times New Roman"/>
          <w:b w:val="false"/>
          <w:i w:val="false"/>
          <w:color w:val="000000"/>
          <w:sz w:val="28"/>
        </w:rPr>
        <w:t>
      прогнозирует воздействие на активы клиентов (инвестиционных фондов), принятых в инвестиционное управление, и (или) собственные активы, их рентабельность и ликвидность следующих факторов:</w:t>
      </w:r>
    </w:p>
    <w:p>
      <w:pPr>
        <w:spacing w:after="0"/>
        <w:ind w:left="0"/>
        <w:jc w:val="both"/>
      </w:pPr>
      <w:r>
        <w:rPr>
          <w:rFonts w:ascii="Times New Roman"/>
          <w:b w:val="false"/>
          <w:i w:val="false"/>
          <w:color w:val="000000"/>
          <w:sz w:val="28"/>
        </w:rPr>
        <w:t>
      страновой риск;</w:t>
      </w:r>
    </w:p>
    <w:p>
      <w:pPr>
        <w:spacing w:after="0"/>
        <w:ind w:left="0"/>
        <w:jc w:val="both"/>
      </w:pPr>
      <w:r>
        <w:rPr>
          <w:rFonts w:ascii="Times New Roman"/>
          <w:b w:val="false"/>
          <w:i w:val="false"/>
          <w:color w:val="000000"/>
          <w:sz w:val="28"/>
        </w:rPr>
        <w:t>
      валютный риск;</w:t>
      </w:r>
    </w:p>
    <w:p>
      <w:pPr>
        <w:spacing w:after="0"/>
        <w:ind w:left="0"/>
        <w:jc w:val="both"/>
      </w:pPr>
      <w:r>
        <w:rPr>
          <w:rFonts w:ascii="Times New Roman"/>
          <w:b w:val="false"/>
          <w:i w:val="false"/>
          <w:color w:val="000000"/>
          <w:sz w:val="28"/>
        </w:rPr>
        <w:t>
      риск досрочного погашения финансовых инструментов;</w:t>
      </w:r>
    </w:p>
    <w:p>
      <w:pPr>
        <w:spacing w:after="0"/>
        <w:ind w:left="0"/>
        <w:jc w:val="both"/>
      </w:pPr>
      <w:r>
        <w:rPr>
          <w:rFonts w:ascii="Times New Roman"/>
          <w:b w:val="false"/>
          <w:i w:val="false"/>
          <w:color w:val="000000"/>
          <w:sz w:val="28"/>
        </w:rPr>
        <w:t>
      риск изменения рейтинга эмитента;</w:t>
      </w:r>
    </w:p>
    <w:p>
      <w:pPr>
        <w:spacing w:after="0"/>
        <w:ind w:left="0"/>
        <w:jc w:val="both"/>
      </w:pPr>
      <w:r>
        <w:rPr>
          <w:rFonts w:ascii="Times New Roman"/>
          <w:b w:val="false"/>
          <w:i w:val="false"/>
          <w:color w:val="000000"/>
          <w:sz w:val="28"/>
        </w:rPr>
        <w:t>
      5) контролирует выполнение ответственными подразделениями Управляющего или брокера и (или) дилера, являющегося Управляющим, политики распределения рисков по видам проводимых операций, установленных лимитов по операциям с финансовыми инструментами, максимальных допустимых размеров убытков, лимитов "stop-loss", "take-profit", лимитов на гэп-позиции и норм по диверсификации инвестиционного портфеля;</w:t>
      </w:r>
    </w:p>
    <w:p>
      <w:pPr>
        <w:spacing w:after="0"/>
        <w:ind w:left="0"/>
        <w:jc w:val="both"/>
      </w:pPr>
      <w:r>
        <w:rPr>
          <w:rFonts w:ascii="Times New Roman"/>
          <w:b w:val="false"/>
          <w:i w:val="false"/>
          <w:color w:val="000000"/>
          <w:sz w:val="28"/>
        </w:rPr>
        <w:t>
      6) контролирует исполнение мероприятий по управлению рисками;</w:t>
      </w:r>
    </w:p>
    <w:p>
      <w:pPr>
        <w:spacing w:after="0"/>
        <w:ind w:left="0"/>
        <w:jc w:val="both"/>
      </w:pPr>
      <w:r>
        <w:rPr>
          <w:rFonts w:ascii="Times New Roman"/>
          <w:b w:val="false"/>
          <w:i w:val="false"/>
          <w:color w:val="000000"/>
          <w:sz w:val="28"/>
        </w:rPr>
        <w:t>
      7) идентифицирует и анализирует внутренние и внешние факторы, представляющие потенциальный и возможный риск, оценивает степень их влияния на финансовые показатели Управляющего или брокера и (или) дилера, являющегося Управляющим, и качество предоставляемых услуг.</w:t>
      </w:r>
    </w:p>
    <w:bookmarkStart w:name="z105" w:id="150"/>
    <w:p>
      <w:pPr>
        <w:spacing w:after="0"/>
        <w:ind w:left="0"/>
        <w:jc w:val="both"/>
      </w:pPr>
      <w:r>
        <w:rPr>
          <w:rFonts w:ascii="Times New Roman"/>
          <w:b w:val="false"/>
          <w:i w:val="false"/>
          <w:color w:val="000000"/>
          <w:sz w:val="28"/>
        </w:rPr>
        <w:t>
      59. В целях осуществления мониторинга результатов инвестиционной деятельности, доходов (расходов) по инвестиционному портфелю ответственными подразделениями Управляющего или брокера и (или) дилера, являющегося Управляющим, осуществляются следующие действия:</w:t>
      </w:r>
    </w:p>
    <w:bookmarkEnd w:id="150"/>
    <w:p>
      <w:pPr>
        <w:spacing w:after="0"/>
        <w:ind w:left="0"/>
        <w:jc w:val="both"/>
      </w:pPr>
      <w:r>
        <w:rPr>
          <w:rFonts w:ascii="Times New Roman"/>
          <w:b w:val="false"/>
          <w:i w:val="false"/>
          <w:color w:val="000000"/>
          <w:sz w:val="28"/>
        </w:rPr>
        <w:t>
      1) подразделение Управляющего или брокера и (или) дилера, являющегося Управляющим, ответственное за учет финансовых инструментов, приобретенных за счет активов клиентов (инвестиционных фондов), принятых в инвестиционное управление, и (или) собственных активов:</w:t>
      </w:r>
    </w:p>
    <w:p>
      <w:pPr>
        <w:spacing w:after="0"/>
        <w:ind w:left="0"/>
        <w:jc w:val="both"/>
      </w:pPr>
      <w:r>
        <w:rPr>
          <w:rFonts w:ascii="Times New Roman"/>
          <w:b w:val="false"/>
          <w:i w:val="false"/>
          <w:color w:val="000000"/>
          <w:sz w:val="28"/>
        </w:rPr>
        <w:t>
      ежедневно осуществляет расчет доходов и убытков, полученных в результате инвестиционной деятельности за счет активов клиентов (инвестиционных фондов), принятых в инвестиционное управление, и (или) собственных активов, и представляет соответствующую информацию в подразделение, осуществляющее управление рисками;</w:t>
      </w:r>
    </w:p>
    <w:p>
      <w:pPr>
        <w:spacing w:after="0"/>
        <w:ind w:left="0"/>
        <w:jc w:val="both"/>
      </w:pPr>
      <w:r>
        <w:rPr>
          <w:rFonts w:ascii="Times New Roman"/>
          <w:b w:val="false"/>
          <w:i w:val="false"/>
          <w:color w:val="000000"/>
          <w:sz w:val="28"/>
        </w:rPr>
        <w:t>
      применяет результаты проведенной подразделением, осуществляющим управление рисками, оценки справедливой стоимости финансового инструмента и необходимости ее корректировки в соответствии с международными стандартами финансовой отчетности в случае отсутствия рыночной стоимости данного финансового инструмента;</w:t>
      </w:r>
    </w:p>
    <w:p>
      <w:pPr>
        <w:spacing w:after="0"/>
        <w:ind w:left="0"/>
        <w:jc w:val="both"/>
      </w:pPr>
      <w:r>
        <w:rPr>
          <w:rFonts w:ascii="Times New Roman"/>
          <w:b w:val="false"/>
          <w:i w:val="false"/>
          <w:color w:val="000000"/>
          <w:sz w:val="28"/>
        </w:rPr>
        <w:t>
      2) подразделение, осуществляющее управление рисками, осуществляет мониторинг правильности определения справедливой цены по финансовым инструментам.</w:t>
      </w:r>
    </w:p>
    <w:bookmarkStart w:name="z106" w:id="151"/>
    <w:p>
      <w:pPr>
        <w:spacing w:after="0"/>
        <w:ind w:left="0"/>
        <w:jc w:val="both"/>
      </w:pPr>
      <w:r>
        <w:rPr>
          <w:rFonts w:ascii="Times New Roman"/>
          <w:b w:val="false"/>
          <w:i w:val="false"/>
          <w:color w:val="000000"/>
          <w:sz w:val="28"/>
        </w:rPr>
        <w:t>
      60. Подразделение, осуществляющее управление рисками, ведет мониторинг ликвидности инвестиционного портфеля посредством:</w:t>
      </w:r>
    </w:p>
    <w:bookmarkEnd w:id="151"/>
    <w:p>
      <w:pPr>
        <w:spacing w:after="0"/>
        <w:ind w:left="0"/>
        <w:jc w:val="both"/>
      </w:pPr>
      <w:r>
        <w:rPr>
          <w:rFonts w:ascii="Times New Roman"/>
          <w:b w:val="false"/>
          <w:i w:val="false"/>
          <w:color w:val="000000"/>
          <w:sz w:val="28"/>
        </w:rPr>
        <w:t>
      1) использования ежедневной таблицы сроков погашения активов и обязательств для вынесения заключения по срокам погашения инструментов хеджирования, рекомендуемых к приобретению;</w:t>
      </w:r>
    </w:p>
    <w:p>
      <w:pPr>
        <w:spacing w:after="0"/>
        <w:ind w:left="0"/>
        <w:jc w:val="both"/>
      </w:pPr>
      <w:r>
        <w:rPr>
          <w:rFonts w:ascii="Times New Roman"/>
          <w:b w:val="false"/>
          <w:i w:val="false"/>
          <w:color w:val="000000"/>
          <w:sz w:val="28"/>
        </w:rPr>
        <w:t>
      2) проведения регулярного мониторинга показателей дюрации по активам и обязательствам, чувствительных к изменению ставок вознаграждения;</w:t>
      </w:r>
    </w:p>
    <w:p>
      <w:pPr>
        <w:spacing w:after="0"/>
        <w:ind w:left="0"/>
        <w:jc w:val="both"/>
      </w:pPr>
      <w:r>
        <w:rPr>
          <w:rFonts w:ascii="Times New Roman"/>
          <w:b w:val="false"/>
          <w:i w:val="false"/>
          <w:color w:val="000000"/>
          <w:sz w:val="28"/>
        </w:rPr>
        <w:t>
      3) отслеживания риска потери ликвидности, валютного риска по операциям с финансовыми инструментами;</w:t>
      </w:r>
    </w:p>
    <w:p>
      <w:pPr>
        <w:spacing w:after="0"/>
        <w:ind w:left="0"/>
        <w:jc w:val="both"/>
      </w:pPr>
      <w:r>
        <w:rPr>
          <w:rFonts w:ascii="Times New Roman"/>
          <w:b w:val="false"/>
          <w:i w:val="false"/>
          <w:color w:val="000000"/>
          <w:sz w:val="28"/>
        </w:rPr>
        <w:t>
      4) проведения анализа открытых валютных позиций или моделей, в которых проводится оценка стоимости валютных инструментов, для определения чувствительности к изменениям валютных курсов;</w:t>
      </w:r>
    </w:p>
    <w:p>
      <w:pPr>
        <w:spacing w:after="0"/>
        <w:ind w:left="0"/>
        <w:jc w:val="both"/>
      </w:pPr>
      <w:r>
        <w:rPr>
          <w:rFonts w:ascii="Times New Roman"/>
          <w:b w:val="false"/>
          <w:i w:val="false"/>
          <w:color w:val="000000"/>
          <w:sz w:val="28"/>
        </w:rPr>
        <w:t>
      5) использования вспомогательной системы для анализа изменения валютных курсов.</w:t>
      </w:r>
    </w:p>
    <w:p>
      <w:pPr>
        <w:spacing w:after="0"/>
        <w:ind w:left="0"/>
        <w:jc w:val="both"/>
      </w:pPr>
      <w:r>
        <w:rPr>
          <w:rFonts w:ascii="Times New Roman"/>
          <w:b w:val="false"/>
          <w:i w:val="false"/>
          <w:color w:val="000000"/>
          <w:sz w:val="28"/>
        </w:rPr>
        <w:t>
      Подразделение, осуществляющее управление рисками, информирует инвестиционный комитет по позиции по риску потери ликвидности, валютному рискам, в динамике и по видам операций купли (продажи), и инициирует использование инструментов хеджирования валютного риска с помощью производных финансовых инструментов в соответствии с политикой управления активами и обязательствами, либо изменение размеров установленных лимитов.</w:t>
      </w:r>
    </w:p>
    <w:bookmarkStart w:name="z107" w:id="152"/>
    <w:p>
      <w:pPr>
        <w:spacing w:after="0"/>
        <w:ind w:left="0"/>
        <w:jc w:val="both"/>
      </w:pPr>
      <w:r>
        <w:rPr>
          <w:rFonts w:ascii="Times New Roman"/>
          <w:b w:val="false"/>
          <w:i w:val="false"/>
          <w:color w:val="000000"/>
          <w:sz w:val="28"/>
        </w:rPr>
        <w:t>
      61. Контроль потока денег и сроков погашения активов и обязательств проводится подразделением, ответственным за анализ структуры портфеля, посредством:</w:t>
      </w:r>
    </w:p>
    <w:bookmarkEnd w:id="152"/>
    <w:p>
      <w:pPr>
        <w:spacing w:after="0"/>
        <w:ind w:left="0"/>
        <w:jc w:val="both"/>
      </w:pPr>
      <w:r>
        <w:rPr>
          <w:rFonts w:ascii="Times New Roman"/>
          <w:b w:val="false"/>
          <w:i w:val="false"/>
          <w:color w:val="000000"/>
          <w:sz w:val="28"/>
        </w:rPr>
        <w:t>
      контроля необходимых денег с помощью графика потока денег и графика сроков погашения активов и обязательств;</w:t>
      </w:r>
    </w:p>
    <w:p>
      <w:pPr>
        <w:spacing w:after="0"/>
        <w:ind w:left="0"/>
        <w:jc w:val="both"/>
      </w:pPr>
      <w:r>
        <w:rPr>
          <w:rFonts w:ascii="Times New Roman"/>
          <w:b w:val="false"/>
          <w:i w:val="false"/>
          <w:color w:val="000000"/>
          <w:sz w:val="28"/>
        </w:rPr>
        <w:t>
      определения уровней доходности по срокам погашения с учетом допущений, вводимых в VAR модель;</w:t>
      </w:r>
    </w:p>
    <w:p>
      <w:pPr>
        <w:spacing w:after="0"/>
        <w:ind w:left="0"/>
        <w:jc w:val="both"/>
      </w:pPr>
      <w:r>
        <w:rPr>
          <w:rFonts w:ascii="Times New Roman"/>
          <w:b w:val="false"/>
          <w:i w:val="false"/>
          <w:color w:val="000000"/>
          <w:sz w:val="28"/>
        </w:rPr>
        <w:t>
      проведения мониторинга соблюдения лимита гэп-позиций.</w:t>
      </w:r>
    </w:p>
    <w:bookmarkStart w:name="z108" w:id="153"/>
    <w:p>
      <w:pPr>
        <w:spacing w:after="0"/>
        <w:ind w:left="0"/>
        <w:jc w:val="both"/>
      </w:pPr>
      <w:r>
        <w:rPr>
          <w:rFonts w:ascii="Times New Roman"/>
          <w:b w:val="false"/>
          <w:i w:val="false"/>
          <w:color w:val="000000"/>
          <w:sz w:val="28"/>
        </w:rPr>
        <w:t>
      62. Подразделение, осуществляющее управление рисками, располагает системой сбора и анализа данных для оценки процентных рисков и осуществляет мониторинг процентного риска, и его основных источников (различия в сроках погашения, ставки рынка заемного капитала, встроенные опционы).</w:t>
      </w:r>
    </w:p>
    <w:bookmarkEnd w:id="153"/>
    <w:bookmarkStart w:name="z109" w:id="154"/>
    <w:p>
      <w:pPr>
        <w:spacing w:after="0"/>
        <w:ind w:left="0"/>
        <w:jc w:val="both"/>
      </w:pPr>
      <w:r>
        <w:rPr>
          <w:rFonts w:ascii="Times New Roman"/>
          <w:b w:val="false"/>
          <w:i w:val="false"/>
          <w:color w:val="000000"/>
          <w:sz w:val="28"/>
        </w:rPr>
        <w:t>
      63. Подразделение, осуществляющее управление рисками:</w:t>
      </w:r>
    </w:p>
    <w:bookmarkEnd w:id="154"/>
    <w:p>
      <w:pPr>
        <w:spacing w:after="0"/>
        <w:ind w:left="0"/>
        <w:jc w:val="both"/>
      </w:pPr>
      <w:r>
        <w:rPr>
          <w:rFonts w:ascii="Times New Roman"/>
          <w:b w:val="false"/>
          <w:i w:val="false"/>
          <w:color w:val="000000"/>
          <w:sz w:val="28"/>
        </w:rPr>
        <w:t>
      1) проводит оценку справедливой стоимости финансовых инструментов в соответствии с международными стандартами финансовой отчетности на основе модели оценки риска и приведения текущих цен к рыночным, в том числе осуществляет стресс-тестинг по ценовому риску;</w:t>
      </w:r>
    </w:p>
    <w:p>
      <w:pPr>
        <w:spacing w:after="0"/>
        <w:ind w:left="0"/>
        <w:jc w:val="both"/>
      </w:pPr>
      <w:r>
        <w:rPr>
          <w:rFonts w:ascii="Times New Roman"/>
          <w:b w:val="false"/>
          <w:i w:val="false"/>
          <w:color w:val="000000"/>
          <w:sz w:val="28"/>
        </w:rPr>
        <w:t>
      2) проводит бэк-тестинг, а именно осуществляет проверку эффективности процедур измерения рисков с использованием исторических данных по Управляющему или брокеру и (или) дилеру, являющемуся Управляющим, и сравнением рассчитанных в результате проведения стресс-тестинга результатов с текущими (фактическими) результатами от совершения операций с финансовыми инструментами;</w:t>
      </w:r>
    </w:p>
    <w:p>
      <w:pPr>
        <w:spacing w:after="0"/>
        <w:ind w:left="0"/>
        <w:jc w:val="both"/>
      </w:pPr>
      <w:r>
        <w:rPr>
          <w:rFonts w:ascii="Times New Roman"/>
          <w:b w:val="false"/>
          <w:i w:val="false"/>
          <w:color w:val="000000"/>
          <w:sz w:val="28"/>
        </w:rPr>
        <w:t>
      3) представляет результаты стресс-тестингов и бэк-тестингов органу управления и в инвестиционный комитет, который использует результаты оценки риска и регулярных стресс-тестингов при принятии инвестиционных решений в отношении совершения сделок с финансовыми инструментами.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с изменением, внесенным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55"/>
    <w:p>
      <w:pPr>
        <w:spacing w:after="0"/>
        <w:ind w:left="0"/>
        <w:jc w:val="both"/>
      </w:pPr>
      <w:r>
        <w:rPr>
          <w:rFonts w:ascii="Times New Roman"/>
          <w:b w:val="false"/>
          <w:i w:val="false"/>
          <w:color w:val="000000"/>
          <w:sz w:val="28"/>
        </w:rPr>
        <w:t>
      64. Обеспечение мониторинга правовых рисков в инвестиционной деятельности Управляющего или брокера и (или) дилера, являющегося Управляющим, осуществляется посредством проведения следующих действий:</w:t>
      </w:r>
    </w:p>
    <w:bookmarkEnd w:id="155"/>
    <w:p>
      <w:pPr>
        <w:spacing w:after="0"/>
        <w:ind w:left="0"/>
        <w:jc w:val="both"/>
      </w:pPr>
      <w:r>
        <w:rPr>
          <w:rFonts w:ascii="Times New Roman"/>
          <w:b w:val="false"/>
          <w:i w:val="false"/>
          <w:color w:val="000000"/>
          <w:sz w:val="28"/>
        </w:rPr>
        <w:t>
      1) подразделение, осуществляющее управление рисками, на постоянной основе контролирует выполнение ответственными подразделениями пруденциальных нормативов и норм диверсификации, установленных уполномоченным органом;</w:t>
      </w:r>
    </w:p>
    <w:p>
      <w:pPr>
        <w:spacing w:after="0"/>
        <w:ind w:left="0"/>
        <w:jc w:val="both"/>
      </w:pPr>
      <w:r>
        <w:rPr>
          <w:rFonts w:ascii="Times New Roman"/>
          <w:b w:val="false"/>
          <w:i w:val="false"/>
          <w:color w:val="000000"/>
          <w:sz w:val="28"/>
        </w:rPr>
        <w:t>
      2) подразделение, осуществляющее функции правового обеспечения:</w:t>
      </w:r>
    </w:p>
    <w:p>
      <w:pPr>
        <w:spacing w:after="0"/>
        <w:ind w:left="0"/>
        <w:jc w:val="both"/>
      </w:pPr>
      <w:r>
        <w:rPr>
          <w:rFonts w:ascii="Times New Roman"/>
          <w:b w:val="false"/>
          <w:i w:val="false"/>
          <w:color w:val="000000"/>
          <w:sz w:val="28"/>
        </w:rPr>
        <w:t>
      осуществляет контроль за соответствием деятельности Управляющего или брокера и (или) дилера, являющегося Управляющим, требованиям законодательства Республики Казахстан о рынке ценных бумаг и инвестиционных фондах посредством проведения правовой экспертизы проектов договоров и документов, связанных с договорами, проектов внутренних документов Управляющего или брокера и (или) дилера, являющегося Управляющим, в том числе касающихся проведения операций с финансовыми инструментами;</w:t>
      </w:r>
    </w:p>
    <w:p>
      <w:pPr>
        <w:spacing w:after="0"/>
        <w:ind w:left="0"/>
        <w:jc w:val="both"/>
      </w:pPr>
      <w:r>
        <w:rPr>
          <w:rFonts w:ascii="Times New Roman"/>
          <w:b w:val="false"/>
          <w:i w:val="false"/>
          <w:color w:val="000000"/>
          <w:sz w:val="28"/>
        </w:rPr>
        <w:t>
      на постоянной основе обеспечивает ознакомление персонала с изменениями в законодательстве Республики Казахстан о рынке ценных бумаг и инвестиционных фондах, регулирующем деятельность Управляющего или брокера и (или) дилера, являющегося Управляющим;</w:t>
      </w:r>
    </w:p>
    <w:p>
      <w:pPr>
        <w:spacing w:after="0"/>
        <w:ind w:left="0"/>
        <w:jc w:val="both"/>
      </w:pPr>
      <w:r>
        <w:rPr>
          <w:rFonts w:ascii="Times New Roman"/>
          <w:b w:val="false"/>
          <w:i w:val="false"/>
          <w:color w:val="000000"/>
          <w:sz w:val="28"/>
        </w:rPr>
        <w:t>
      3) ответственные структурные подразделения Управляющего или брокера и (или) дилера, являющегося Управляющим, проводят:</w:t>
      </w:r>
    </w:p>
    <w:p>
      <w:pPr>
        <w:spacing w:after="0"/>
        <w:ind w:left="0"/>
        <w:jc w:val="both"/>
      </w:pPr>
      <w:r>
        <w:rPr>
          <w:rFonts w:ascii="Times New Roman"/>
          <w:b w:val="false"/>
          <w:i w:val="false"/>
          <w:color w:val="000000"/>
          <w:sz w:val="28"/>
        </w:rPr>
        <w:t>
      оценку возможности появления дополнительных рисков, связанных с изменением в законодательстве Республики Казахстан, регулирующем деятельность Управляющего или брокера и (или) дилера, являющегося Управляющим;</w:t>
      </w:r>
    </w:p>
    <w:p>
      <w:pPr>
        <w:spacing w:after="0"/>
        <w:ind w:left="0"/>
        <w:jc w:val="both"/>
      </w:pPr>
      <w:r>
        <w:rPr>
          <w:rFonts w:ascii="Times New Roman"/>
          <w:b w:val="false"/>
          <w:i w:val="false"/>
          <w:color w:val="000000"/>
          <w:sz w:val="28"/>
        </w:rPr>
        <w:t>
      осуществляют ознакомление персонала с внутренними документами Управляющего или брокера и (или) дилера, являющегося Управляющим;</w:t>
      </w:r>
    </w:p>
    <w:p>
      <w:pPr>
        <w:spacing w:after="0"/>
        <w:ind w:left="0"/>
        <w:jc w:val="both"/>
      </w:pPr>
      <w:r>
        <w:rPr>
          <w:rFonts w:ascii="Times New Roman"/>
          <w:b w:val="false"/>
          <w:i w:val="false"/>
          <w:color w:val="000000"/>
          <w:sz w:val="28"/>
        </w:rPr>
        <w:t>
      обеспечивают соблюдение Управляющим или брокером и (или) дилером, являющимся Управляющим, договорных отношений и осуществляют контроль соблюдения контрпартнерами своих обязательств.</w:t>
      </w:r>
    </w:p>
    <w:bookmarkStart w:name="z111" w:id="156"/>
    <w:p>
      <w:pPr>
        <w:spacing w:after="0"/>
        <w:ind w:left="0"/>
        <w:jc w:val="both"/>
      </w:pPr>
      <w:r>
        <w:rPr>
          <w:rFonts w:ascii="Times New Roman"/>
          <w:b w:val="false"/>
          <w:i w:val="false"/>
          <w:color w:val="000000"/>
          <w:sz w:val="28"/>
        </w:rPr>
        <w:t>
      65. Подразделениями Управляющего или брокера и (или) дилера, являющегося Управляющим, осуществляющими управление активами клиентов (инвестиционных фондов), принятыми в инвестиционное управление, и (или) собственными активами и управление рисками, с учетом информации, предоставляемой торговым подразделением либо организацией, осуществляющей брокерскую деятельность на рынке ценных бумаг, проводится анализ и мониторинг контрпартнеров посредством изучения их финансовой отчетности, сведений, необходимых для идентификации контрпартнеров (данных учредительных документов, бизнес-идентификационного номера (за исключением случаев, когда контрпартнеру не присвоены бизнес-идентификационный номер), а также адреса, места нахождения), другой информации, которая оказывает влияние на способность выполнять контрпартнерами принятые обязательства и, в случае обнаружения негативной информации о деятельности контрпартнеров, готовится отчет инвестиционному комитету Управляющего или брокера и (или) дилера, являющегося Управляющим.</w:t>
      </w:r>
    </w:p>
    <w:bookmarkEnd w:id="156"/>
    <w:bookmarkStart w:name="z112" w:id="157"/>
    <w:p>
      <w:pPr>
        <w:spacing w:after="0"/>
        <w:ind w:left="0"/>
        <w:jc w:val="both"/>
      </w:pPr>
      <w:r>
        <w:rPr>
          <w:rFonts w:ascii="Times New Roman"/>
          <w:b w:val="false"/>
          <w:i w:val="false"/>
          <w:color w:val="000000"/>
          <w:sz w:val="28"/>
        </w:rPr>
        <w:t>
      66. Подразделение Управляющего или брокера и (или) дилера, являющегося Управляющим, осуществляющее управление активами клиентов (инвестиционных фондов), принятых в инвестиционное управление и (или) собственными активами, на постоянной основе проводит мониторинг финансового состояния эмитента, появления информации, которая оказывает влияние на стоимость финансовых инструментов эмитента или способность выполнять им свои обязательства. Информация представляется не реже одного раза в квартал в инвестиционный комитет.</w:t>
      </w:r>
    </w:p>
    <w:bookmarkEnd w:id="157"/>
    <w:bookmarkStart w:name="z113" w:id="158"/>
    <w:p>
      <w:pPr>
        <w:spacing w:after="0"/>
        <w:ind w:left="0"/>
        <w:jc w:val="both"/>
      </w:pPr>
      <w:r>
        <w:rPr>
          <w:rFonts w:ascii="Times New Roman"/>
          <w:b w:val="false"/>
          <w:i w:val="false"/>
          <w:color w:val="000000"/>
          <w:sz w:val="28"/>
        </w:rPr>
        <w:t>
      67. Подразделение Управляющего или брокера и (или) дилера, являющегося Управляющим, осуществляющее управление рисками, инициирует подготовку плана мероприятий в случае наступления событий, которые оказывают влияние на значительное ухудшение финансового состояния Управляющего или брокера и (или) дилера, являющегося Управляющим, и (или) на его способность отвечать по своим обязательствам, а также осуществляет сбор информации и координацию действий подразделений Управляющего или брокера и (или) дилера, являющегося Управляющим, в процессе подготовки соответствующего плана мероприятий.</w:t>
      </w:r>
    </w:p>
    <w:bookmarkEnd w:id="158"/>
    <w:p>
      <w:pPr>
        <w:spacing w:after="0"/>
        <w:ind w:left="0"/>
        <w:jc w:val="both"/>
      </w:pPr>
      <w:r>
        <w:rPr>
          <w:rFonts w:ascii="Times New Roman"/>
          <w:b w:val="false"/>
          <w:i w:val="false"/>
          <w:color w:val="000000"/>
          <w:sz w:val="28"/>
        </w:rPr>
        <w:t>
      Перечень событий, оказывающих влияние на значительное ухудшение финансового состояния Управляющего или брокера и (или) дилера, являющегося Управляющим, и (или) на его способность отвечать по своим обязательствам, а также показатели, характеризующие наступление таких событий, утверждаются инвестиционным комитетом Управляющего или брокера и (или) дилера, являющегося Управляющим, определяются внутренними документами Управляющего или брокера и (или) дилера, являющегося Управляющим, и вышеуказанный перечень включает, но не ограничивается следующим:</w:t>
      </w:r>
    </w:p>
    <w:p>
      <w:pPr>
        <w:spacing w:after="0"/>
        <w:ind w:left="0"/>
        <w:jc w:val="both"/>
      </w:pPr>
      <w:r>
        <w:rPr>
          <w:rFonts w:ascii="Times New Roman"/>
          <w:b w:val="false"/>
          <w:i w:val="false"/>
          <w:color w:val="000000"/>
          <w:sz w:val="28"/>
        </w:rPr>
        <w:t>
      изменение ситуации на фондовом рынке, характеризующееся значительной волатильностью цен на финансовые инструменты в короткий промежуток времени;</w:t>
      </w:r>
    </w:p>
    <w:p>
      <w:pPr>
        <w:spacing w:after="0"/>
        <w:ind w:left="0"/>
        <w:jc w:val="both"/>
      </w:pPr>
      <w:r>
        <w:rPr>
          <w:rFonts w:ascii="Times New Roman"/>
          <w:b w:val="false"/>
          <w:i w:val="false"/>
          <w:color w:val="000000"/>
          <w:sz w:val="28"/>
        </w:rPr>
        <w:t>
      значительное сокращение активов, принятых в управление;</w:t>
      </w:r>
    </w:p>
    <w:p>
      <w:pPr>
        <w:spacing w:after="0"/>
        <w:ind w:left="0"/>
        <w:jc w:val="both"/>
      </w:pPr>
      <w:r>
        <w:rPr>
          <w:rFonts w:ascii="Times New Roman"/>
          <w:b w:val="false"/>
          <w:i w:val="false"/>
          <w:color w:val="000000"/>
          <w:sz w:val="28"/>
        </w:rPr>
        <w:t>
      ухудшение финансовых показателей Управляющего или брокера и (или) дилера, являющегося Управляющим;</w:t>
      </w:r>
    </w:p>
    <w:p>
      <w:pPr>
        <w:spacing w:after="0"/>
        <w:ind w:left="0"/>
        <w:jc w:val="both"/>
      </w:pPr>
      <w:r>
        <w:rPr>
          <w:rFonts w:ascii="Times New Roman"/>
          <w:b w:val="false"/>
          <w:i w:val="false"/>
          <w:color w:val="000000"/>
          <w:sz w:val="28"/>
        </w:rPr>
        <w:t>
      значительное снижение собственного капитала;</w:t>
      </w:r>
    </w:p>
    <w:p>
      <w:pPr>
        <w:spacing w:after="0"/>
        <w:ind w:left="0"/>
        <w:jc w:val="both"/>
      </w:pPr>
      <w:r>
        <w:rPr>
          <w:rFonts w:ascii="Times New Roman"/>
          <w:b w:val="false"/>
          <w:i w:val="false"/>
          <w:color w:val="000000"/>
          <w:sz w:val="28"/>
        </w:rPr>
        <w:t>
      значительное изменение значений пруденциальных нормативов;</w:t>
      </w:r>
    </w:p>
    <w:p>
      <w:pPr>
        <w:spacing w:after="0"/>
        <w:ind w:left="0"/>
        <w:jc w:val="both"/>
      </w:pPr>
      <w:r>
        <w:rPr>
          <w:rFonts w:ascii="Times New Roman"/>
          <w:b w:val="false"/>
          <w:i w:val="false"/>
          <w:color w:val="000000"/>
          <w:sz w:val="28"/>
        </w:rPr>
        <w:t xml:space="preserve">
      возникновение ситуаций, указанных в подпункте 1) </w:t>
      </w:r>
      <w:r>
        <w:rPr>
          <w:rFonts w:ascii="Times New Roman"/>
          <w:b w:val="false"/>
          <w:i w:val="false"/>
          <w:color w:val="000000"/>
          <w:sz w:val="28"/>
        </w:rPr>
        <w:t>пункта 34</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приостановление действия или лишение лицензии на осуществление профессионального вида деятельности на рынке ценных бумаг;</w:t>
      </w:r>
    </w:p>
    <w:p>
      <w:pPr>
        <w:spacing w:after="0"/>
        <w:ind w:left="0"/>
        <w:jc w:val="both"/>
      </w:pPr>
      <w:r>
        <w:rPr>
          <w:rFonts w:ascii="Times New Roman"/>
          <w:b w:val="false"/>
          <w:i w:val="false"/>
          <w:color w:val="000000"/>
          <w:sz w:val="28"/>
        </w:rPr>
        <w:t>
      наступление дефолта или банкротства Управляющего или брокера и (или) дилера, являющегося Управляющим, или его крупного акционера;</w:t>
      </w:r>
    </w:p>
    <w:p>
      <w:pPr>
        <w:spacing w:after="0"/>
        <w:ind w:left="0"/>
        <w:jc w:val="both"/>
      </w:pPr>
      <w:r>
        <w:rPr>
          <w:rFonts w:ascii="Times New Roman"/>
          <w:b w:val="false"/>
          <w:i w:val="false"/>
          <w:color w:val="000000"/>
          <w:sz w:val="28"/>
        </w:rPr>
        <w:t>
      иное событие, определенное внутренними документами Управляющего или брокера и (или) дилера, являющегося Управляющим.</w:t>
      </w:r>
    </w:p>
    <w:p>
      <w:pPr>
        <w:spacing w:after="0"/>
        <w:ind w:left="0"/>
        <w:jc w:val="both"/>
      </w:pPr>
      <w:r>
        <w:rPr>
          <w:rFonts w:ascii="Times New Roman"/>
          <w:b w:val="false"/>
          <w:i w:val="false"/>
          <w:color w:val="000000"/>
          <w:sz w:val="28"/>
        </w:rPr>
        <w:t>
      План мероприятий, подготовленный подразделением Управляющего или брокера и (или) дилера, являющегося Управляющим, осуществляющим управление рисками, утверждается органом управления Управляющего или брокера и (или) дилера, являющегося Управляющим, после согласования с исполнительным органом.</w:t>
      </w:r>
    </w:p>
    <w:bookmarkStart w:name="z114" w:id="159"/>
    <w:p>
      <w:pPr>
        <w:spacing w:after="0"/>
        <w:ind w:left="0"/>
        <w:jc w:val="left"/>
      </w:pPr>
      <w:r>
        <w:rPr>
          <w:rFonts w:ascii="Times New Roman"/>
          <w:b/>
          <w:i w:val="false"/>
          <w:color w:val="000000"/>
        </w:rPr>
        <w:t xml:space="preserve"> Глава 7. Требования к организации мониторинга рисков в процессе деятельности брокера и (или) дилера или Управляющего, являющегося брокером и (или) дилером</w:t>
      </w:r>
    </w:p>
    <w:bookmarkEnd w:id="159"/>
    <w:p>
      <w:pPr>
        <w:spacing w:after="0"/>
        <w:ind w:left="0"/>
        <w:jc w:val="both"/>
      </w:pPr>
      <w:r>
        <w:rPr>
          <w:rFonts w:ascii="Times New Roman"/>
          <w:b w:val="false"/>
          <w:i w:val="false"/>
          <w:color w:val="ff0000"/>
          <w:sz w:val="28"/>
        </w:rPr>
        <w:t xml:space="preserve">
      Сноска. Заголовок главы 7 -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5" w:id="160"/>
    <w:p>
      <w:pPr>
        <w:spacing w:after="0"/>
        <w:ind w:left="0"/>
        <w:jc w:val="both"/>
      </w:pPr>
      <w:r>
        <w:rPr>
          <w:rFonts w:ascii="Times New Roman"/>
          <w:b w:val="false"/>
          <w:i w:val="false"/>
          <w:color w:val="000000"/>
          <w:sz w:val="28"/>
        </w:rPr>
        <w:t>
      68. Подразделение брокера и (или) дилера или Управляющего, являющегося брокером и (или) дилером, осуществляющее управление рисками, осуществляет постоянный мониторинг деятельности брокера и (или) дилера или Управляющего, являющегося брокером и (или) дилером, на постоянной основе производит оценку рисков и участвует в разработке мероприятий по снижению уровня рисков, а именно:</w:t>
      </w:r>
    </w:p>
    <w:bookmarkEnd w:id="160"/>
    <w:p>
      <w:pPr>
        <w:spacing w:after="0"/>
        <w:ind w:left="0"/>
        <w:jc w:val="both"/>
      </w:pPr>
      <w:r>
        <w:rPr>
          <w:rFonts w:ascii="Times New Roman"/>
          <w:b w:val="false"/>
          <w:i w:val="false"/>
          <w:color w:val="000000"/>
          <w:sz w:val="28"/>
        </w:rPr>
        <w:t>
      1) организовывает процесс сбора информации, необходимой для анализа и оценки рисков;</w:t>
      </w:r>
    </w:p>
    <w:p>
      <w:pPr>
        <w:spacing w:after="0"/>
        <w:ind w:left="0"/>
        <w:jc w:val="both"/>
      </w:pPr>
      <w:r>
        <w:rPr>
          <w:rFonts w:ascii="Times New Roman"/>
          <w:b w:val="false"/>
          <w:i w:val="false"/>
          <w:color w:val="000000"/>
          <w:sz w:val="28"/>
        </w:rPr>
        <w:t>
      2) организовывает процесс мониторинга и анализа финансового состояния и платежеспособности клиентов;</w:t>
      </w:r>
    </w:p>
    <w:p>
      <w:pPr>
        <w:spacing w:after="0"/>
        <w:ind w:left="0"/>
        <w:jc w:val="both"/>
      </w:pPr>
      <w:r>
        <w:rPr>
          <w:rFonts w:ascii="Times New Roman"/>
          <w:b w:val="false"/>
          <w:i w:val="false"/>
          <w:color w:val="000000"/>
          <w:sz w:val="28"/>
        </w:rPr>
        <w:t>
      3) разрабатывает и совершенствует методологию и организует процесс анализа и оценки рисков;</w:t>
      </w:r>
    </w:p>
    <w:p>
      <w:pPr>
        <w:spacing w:after="0"/>
        <w:ind w:left="0"/>
        <w:jc w:val="both"/>
      </w:pPr>
      <w:r>
        <w:rPr>
          <w:rFonts w:ascii="Times New Roman"/>
          <w:b w:val="false"/>
          <w:i w:val="false"/>
          <w:color w:val="000000"/>
          <w:sz w:val="28"/>
        </w:rPr>
        <w:t>
      4) разрабатывает методы управления рисками;</w:t>
      </w:r>
    </w:p>
    <w:p>
      <w:pPr>
        <w:spacing w:after="0"/>
        <w:ind w:left="0"/>
        <w:jc w:val="both"/>
      </w:pPr>
      <w:r>
        <w:rPr>
          <w:rFonts w:ascii="Times New Roman"/>
          <w:b w:val="false"/>
          <w:i w:val="false"/>
          <w:color w:val="000000"/>
          <w:sz w:val="28"/>
        </w:rPr>
        <w:t>
      5) планирует и инициирует мероприятия по снижению уровня рисков;</w:t>
      </w:r>
    </w:p>
    <w:p>
      <w:pPr>
        <w:spacing w:after="0"/>
        <w:ind w:left="0"/>
        <w:jc w:val="both"/>
      </w:pPr>
      <w:r>
        <w:rPr>
          <w:rFonts w:ascii="Times New Roman"/>
          <w:b w:val="false"/>
          <w:i w:val="false"/>
          <w:color w:val="000000"/>
          <w:sz w:val="28"/>
        </w:rPr>
        <w:t>
      6) контролирует исполнение мероприятий по управлению рисками;</w:t>
      </w:r>
    </w:p>
    <w:p>
      <w:pPr>
        <w:spacing w:after="0"/>
        <w:ind w:left="0"/>
        <w:jc w:val="both"/>
      </w:pPr>
      <w:r>
        <w:rPr>
          <w:rFonts w:ascii="Times New Roman"/>
          <w:b w:val="false"/>
          <w:i w:val="false"/>
          <w:color w:val="000000"/>
          <w:sz w:val="28"/>
        </w:rPr>
        <w:t>
      7) идентифицирует и анализирует внутренние и внешние факторы, представляющие потенциальный и возможный риск, оценивает степень их влияния на финансовые показатели брокера и (или) дилера, или Управляющего, являющегося брокером и (или) дилером, и качество предоставляемых им услуг;</w:t>
      </w:r>
    </w:p>
    <w:p>
      <w:pPr>
        <w:spacing w:after="0"/>
        <w:ind w:left="0"/>
        <w:jc w:val="both"/>
      </w:pPr>
      <w:r>
        <w:rPr>
          <w:rFonts w:ascii="Times New Roman"/>
          <w:b w:val="false"/>
          <w:i w:val="false"/>
          <w:color w:val="000000"/>
          <w:sz w:val="28"/>
        </w:rPr>
        <w:t>
      8) осуществляет расчеты значения рисков на одного клиента согласно требованиям настоящей главы;</w:t>
      </w:r>
    </w:p>
    <w:p>
      <w:pPr>
        <w:spacing w:after="0"/>
        <w:ind w:left="0"/>
        <w:jc w:val="both"/>
      </w:pPr>
      <w:r>
        <w:rPr>
          <w:rFonts w:ascii="Times New Roman"/>
          <w:b w:val="false"/>
          <w:i w:val="false"/>
          <w:color w:val="000000"/>
          <w:sz w:val="28"/>
        </w:rPr>
        <w:t>
      9) разрабатывает критерии и предложения по ограничению рисков неплатежеспособности.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61"/>
    <w:p>
      <w:pPr>
        <w:spacing w:after="0"/>
        <w:ind w:left="0"/>
        <w:jc w:val="both"/>
      </w:pPr>
      <w:r>
        <w:rPr>
          <w:rFonts w:ascii="Times New Roman"/>
          <w:b w:val="false"/>
          <w:i w:val="false"/>
          <w:color w:val="000000"/>
          <w:sz w:val="28"/>
        </w:rPr>
        <w:t xml:space="preserve">
      69. Подразделение брокера и (или) дилера или Управляющего, являющегося брокером и (или) дилером, осуществляющее управление рисками, осуществляет контроль потока денег и сроков погашения активов и обязательств, в порядке, предусмотренном </w:t>
      </w:r>
      <w:r>
        <w:rPr>
          <w:rFonts w:ascii="Times New Roman"/>
          <w:b w:val="false"/>
          <w:i w:val="false"/>
          <w:color w:val="000000"/>
          <w:sz w:val="28"/>
        </w:rPr>
        <w:t>пунктом 61</w:t>
      </w:r>
      <w:r>
        <w:rPr>
          <w:rFonts w:ascii="Times New Roman"/>
          <w:b w:val="false"/>
          <w:i w:val="false"/>
          <w:color w:val="000000"/>
          <w:sz w:val="28"/>
        </w:rPr>
        <w:t xml:space="preserve"> Правил.</w:t>
      </w:r>
    </w:p>
    <w:bookmarkEnd w:id="161"/>
    <w:bookmarkStart w:name="z117" w:id="162"/>
    <w:p>
      <w:pPr>
        <w:spacing w:after="0"/>
        <w:ind w:left="0"/>
        <w:jc w:val="both"/>
      </w:pPr>
      <w:r>
        <w:rPr>
          <w:rFonts w:ascii="Times New Roman"/>
          <w:b w:val="false"/>
          <w:i w:val="false"/>
          <w:color w:val="000000"/>
          <w:sz w:val="28"/>
        </w:rPr>
        <w:t xml:space="preserve">
      70. Обеспечение мониторинга соблюдения договорных отношений, требований законодательства Республики Казахстан о рынке ценных бумаг и инвестиционных фондах и внутренних политик брокера и (или) дилера или Управляющего, являющегося брокером и (или) дилером, осуществляется в порядке, предусмотренном </w:t>
      </w:r>
      <w:r>
        <w:rPr>
          <w:rFonts w:ascii="Times New Roman"/>
          <w:b w:val="false"/>
          <w:i w:val="false"/>
          <w:color w:val="000000"/>
          <w:sz w:val="28"/>
        </w:rPr>
        <w:t>пунктом 64</w:t>
      </w:r>
      <w:r>
        <w:rPr>
          <w:rFonts w:ascii="Times New Roman"/>
          <w:b w:val="false"/>
          <w:i w:val="false"/>
          <w:color w:val="000000"/>
          <w:sz w:val="28"/>
        </w:rPr>
        <w:t xml:space="preserve"> Правил.</w:t>
      </w:r>
    </w:p>
    <w:bookmarkEnd w:id="162"/>
    <w:bookmarkStart w:name="z118" w:id="163"/>
    <w:p>
      <w:pPr>
        <w:spacing w:after="0"/>
        <w:ind w:left="0"/>
        <w:jc w:val="both"/>
      </w:pPr>
      <w:r>
        <w:rPr>
          <w:rFonts w:ascii="Times New Roman"/>
          <w:b w:val="false"/>
          <w:i w:val="false"/>
          <w:color w:val="000000"/>
          <w:sz w:val="28"/>
        </w:rPr>
        <w:t xml:space="preserve">
      71. Подразделениями брокера и (или) дилера или Управляющего, являющегося брокером и (или) дилером, осуществляющими управление собственными активами и управление рисками, проводится анализ и мониторинг контрпартнеров и клиентов, заключивших договор об оказании брокерских услуг, посредством изучения их финансовой отчетности, сведений, необходимых для идентификации контрпартнеров и клиентов (для юридических лиц - данных учредительных документов, бизнес-идентификационного номера (за исключением случаев, когда контрпартнеру или клиенту не присвоен бизнес-идентификационный номер), а также адреса места нахождения, для физических лиц - данных документа, удостоверяющего его личность, индивидуального идентификационного номера (за исключением случаев, когда клиенту не присвоен индивидуальный идентификационный номер)), другой информации, которая оказывает влияние на способность выполнять контрпартнером или клиентом принятые обязательства и, в случае обнаружения негативной информации о деятельности контрпартнеров и клиентов, готовится отчет органу управления (наблюдательному совету) брокера и (или) дилера и (или) инвестиционному комитету Управляющего, являющегося брокером и (или) дилером. </w:t>
      </w:r>
    </w:p>
    <w:bookmarkEnd w:id="163"/>
    <w:bookmarkStart w:name="z119" w:id="164"/>
    <w:p>
      <w:pPr>
        <w:spacing w:after="0"/>
        <w:ind w:left="0"/>
        <w:jc w:val="both"/>
      </w:pPr>
      <w:r>
        <w:rPr>
          <w:rFonts w:ascii="Times New Roman"/>
          <w:b w:val="false"/>
          <w:i w:val="false"/>
          <w:color w:val="000000"/>
          <w:sz w:val="28"/>
        </w:rPr>
        <w:t>
      72. Органом управления (наблюдательным советом) брокера и (или) дилера или Управляющего, являющегося брокером и (или) дилером, утверждается план мероприятий в случае наступления событий, которые оказывают влияние на значительное ухудшение финансового состояния брокера и (или) дилера или Управляющего, являющегося брокером и (или) дилером.</w:t>
      </w:r>
    </w:p>
    <w:bookmarkEnd w:id="164"/>
    <w:p>
      <w:pPr>
        <w:spacing w:after="0"/>
        <w:ind w:left="0"/>
        <w:jc w:val="both"/>
      </w:pPr>
      <w:r>
        <w:rPr>
          <w:rFonts w:ascii="Times New Roman"/>
          <w:b w:val="false"/>
          <w:i w:val="false"/>
          <w:color w:val="000000"/>
          <w:sz w:val="28"/>
        </w:rPr>
        <w:t xml:space="preserve">
      Перечень событий, оказывающих влияние на значительное ухудшение финансового состояния брокера и (или) дилера или Управляющего, являющегося брокером и (или) дилером, и (или) на его способность отвечать по своим обязательствам, а также, показатели, характеризующие наступление таких событий, утверждаются органом управления (наблюдательным советом) брокера и (или) дилера или Управляющего, являющегося брокером и (или) дилером, определяются внутренними документами брокера и (или) дилера или Управляющего, являющегося брокером и (или) дилером, и вышеуказанный перечень включает, но не ограничивается, событиями, указанными в </w:t>
      </w:r>
      <w:r>
        <w:rPr>
          <w:rFonts w:ascii="Times New Roman"/>
          <w:b w:val="false"/>
          <w:i w:val="false"/>
          <w:color w:val="000000"/>
          <w:sz w:val="28"/>
        </w:rPr>
        <w:t>пункте 67</w:t>
      </w:r>
      <w:r>
        <w:rPr>
          <w:rFonts w:ascii="Times New Roman"/>
          <w:b w:val="false"/>
          <w:i w:val="false"/>
          <w:color w:val="000000"/>
          <w:sz w:val="28"/>
        </w:rPr>
        <w:t xml:space="preserve"> Правил.</w:t>
      </w:r>
    </w:p>
    <w:bookmarkStart w:name="z120" w:id="165"/>
    <w:p>
      <w:pPr>
        <w:spacing w:after="0"/>
        <w:ind w:left="0"/>
        <w:jc w:val="both"/>
      </w:pPr>
      <w:r>
        <w:rPr>
          <w:rFonts w:ascii="Times New Roman"/>
          <w:b w:val="false"/>
          <w:i w:val="false"/>
          <w:color w:val="000000"/>
          <w:sz w:val="28"/>
        </w:rPr>
        <w:t>
      73. Подразделение брокера и (или) дилера или Управляющего, являющегося брокером и (или) дилером, осуществляющее управление рисками, осуществляет расчеты значений рисков на одного клиента в течение торгового дня по мере осуществления следующих операций:</w:t>
      </w:r>
    </w:p>
    <w:bookmarkEnd w:id="165"/>
    <w:p>
      <w:pPr>
        <w:spacing w:after="0"/>
        <w:ind w:left="0"/>
        <w:jc w:val="both"/>
      </w:pPr>
      <w:r>
        <w:rPr>
          <w:rFonts w:ascii="Times New Roman"/>
          <w:b w:val="false"/>
          <w:i w:val="false"/>
          <w:color w:val="000000"/>
          <w:sz w:val="28"/>
        </w:rPr>
        <w:t>
      1) исполнения клиентского заказа на покупку (продажу) ценных бумаг на международных (иностранных) рынках ценных бумаг;</w:t>
      </w:r>
    </w:p>
    <w:p>
      <w:pPr>
        <w:spacing w:after="0"/>
        <w:ind w:left="0"/>
        <w:jc w:val="both"/>
      </w:pPr>
      <w:r>
        <w:rPr>
          <w:rFonts w:ascii="Times New Roman"/>
          <w:b w:val="false"/>
          <w:i w:val="false"/>
          <w:color w:val="000000"/>
          <w:sz w:val="28"/>
        </w:rPr>
        <w:t>
      2) подачи заявки от имени клиента на покупку (продажу) ценных бумаг в торговую систему организатора торгов;</w:t>
      </w:r>
    </w:p>
    <w:p>
      <w:pPr>
        <w:spacing w:after="0"/>
        <w:ind w:left="0"/>
        <w:jc w:val="both"/>
      </w:pPr>
      <w:r>
        <w:rPr>
          <w:rFonts w:ascii="Times New Roman"/>
          <w:b w:val="false"/>
          <w:i w:val="false"/>
          <w:color w:val="000000"/>
          <w:sz w:val="28"/>
        </w:rPr>
        <w:t>
      3) принятия приказа на списание денег с банковского счета клиента;</w:t>
      </w:r>
    </w:p>
    <w:p>
      <w:pPr>
        <w:spacing w:after="0"/>
        <w:ind w:left="0"/>
        <w:jc w:val="both"/>
      </w:pPr>
      <w:r>
        <w:rPr>
          <w:rFonts w:ascii="Times New Roman"/>
          <w:b w:val="false"/>
          <w:i w:val="false"/>
          <w:color w:val="000000"/>
          <w:sz w:val="28"/>
        </w:rPr>
        <w:t>
      4) зачисление денег на банковский счет клиента;</w:t>
      </w:r>
    </w:p>
    <w:p>
      <w:pPr>
        <w:spacing w:after="0"/>
        <w:ind w:left="0"/>
        <w:jc w:val="both"/>
      </w:pPr>
      <w:r>
        <w:rPr>
          <w:rFonts w:ascii="Times New Roman"/>
          <w:b w:val="false"/>
          <w:i w:val="false"/>
          <w:color w:val="000000"/>
          <w:sz w:val="28"/>
        </w:rPr>
        <w:t>
      5) принятия приказа на ввод (вывод) ценных бумаг в (из) номинальное (номинального) держание (держания);</w:t>
      </w:r>
    </w:p>
    <w:p>
      <w:pPr>
        <w:spacing w:after="0"/>
        <w:ind w:left="0"/>
        <w:jc w:val="both"/>
      </w:pPr>
      <w:r>
        <w:rPr>
          <w:rFonts w:ascii="Times New Roman"/>
          <w:b w:val="false"/>
          <w:i w:val="false"/>
          <w:color w:val="000000"/>
          <w:sz w:val="28"/>
        </w:rPr>
        <w:t>
      6) открытия операции прямого и обратного репо;</w:t>
      </w:r>
    </w:p>
    <w:p>
      <w:pPr>
        <w:spacing w:after="0"/>
        <w:ind w:left="0"/>
        <w:jc w:val="both"/>
      </w:pPr>
      <w:r>
        <w:rPr>
          <w:rFonts w:ascii="Times New Roman"/>
          <w:b w:val="false"/>
          <w:i w:val="false"/>
          <w:color w:val="000000"/>
          <w:sz w:val="28"/>
        </w:rPr>
        <w:t>
      7) исполнения клиентского заказа на продажу облигаций, выпущенных организацией - резидентом Республики Казахстан, на территории иностранного государства, в торговой системе организатора торгов в соответствии с законодательством Республики Казахстан о рынке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66"/>
    <w:p>
      <w:pPr>
        <w:spacing w:after="0"/>
        <w:ind w:left="0"/>
        <w:jc w:val="both"/>
      </w:pPr>
      <w:r>
        <w:rPr>
          <w:rFonts w:ascii="Times New Roman"/>
          <w:b w:val="false"/>
          <w:i w:val="false"/>
          <w:color w:val="000000"/>
          <w:sz w:val="28"/>
        </w:rPr>
        <w:t>
      74. Расчет рисков на одного клиента не производится в отношении клиентов, от имени и (или) за счет которых в течение торгового дня брокер и (или) дилер или Управляющий, являющийся брокером и (или) дилером:</w:t>
      </w:r>
    </w:p>
    <w:bookmarkEnd w:id="166"/>
    <w:p>
      <w:pPr>
        <w:spacing w:after="0"/>
        <w:ind w:left="0"/>
        <w:jc w:val="both"/>
      </w:pPr>
      <w:r>
        <w:rPr>
          <w:rFonts w:ascii="Times New Roman"/>
          <w:b w:val="false"/>
          <w:i w:val="false"/>
          <w:color w:val="000000"/>
          <w:sz w:val="28"/>
        </w:rPr>
        <w:t xml:space="preserve">
      1) не принимал клиентские заказы на заключение сделок на международном (иностранном) рынке ценных бумаг; </w:t>
      </w:r>
    </w:p>
    <w:p>
      <w:pPr>
        <w:spacing w:after="0"/>
        <w:ind w:left="0"/>
        <w:jc w:val="both"/>
      </w:pPr>
      <w:r>
        <w:rPr>
          <w:rFonts w:ascii="Times New Roman"/>
          <w:b w:val="false"/>
          <w:i w:val="false"/>
          <w:color w:val="000000"/>
          <w:sz w:val="28"/>
        </w:rPr>
        <w:t>
      2) не подавал заявок на покупку (продажу) ценных бумаг в торговую систему организатора торгов.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Исключен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67"/>
    <w:p>
      <w:pPr>
        <w:spacing w:after="0"/>
        <w:ind w:left="0"/>
        <w:jc w:val="both"/>
      </w:pPr>
      <w:r>
        <w:rPr>
          <w:rFonts w:ascii="Times New Roman"/>
          <w:b w:val="false"/>
          <w:i w:val="false"/>
          <w:color w:val="000000"/>
          <w:sz w:val="28"/>
        </w:rPr>
        <w:t>
      76. Под термином "один клиент" следует понимать каждое физическое или юридическое лицо, в ходе исполнения клиентского заказа которого у брокера и (или) дилера или Управляющего, являющегося брокером и (или) дилером, могут возникнуть обязательства по поставке денег и (или) ценных бумаг перед третьей стороной, в результате заключения сделок с ценными бумагами.</w:t>
      </w:r>
    </w:p>
    <w:bookmarkEnd w:id="167"/>
    <w:bookmarkStart w:name="z125" w:id="168"/>
    <w:p>
      <w:pPr>
        <w:spacing w:after="0"/>
        <w:ind w:left="0"/>
        <w:jc w:val="both"/>
      </w:pPr>
      <w:r>
        <w:rPr>
          <w:rFonts w:ascii="Times New Roman"/>
          <w:b w:val="false"/>
          <w:i w:val="false"/>
          <w:color w:val="000000"/>
          <w:sz w:val="28"/>
        </w:rPr>
        <w:t>
      77. Размер риска на одного клиента рассчитывается как сумма условных и возможных обязательств брокера и (или) дилера или Управляющего, являющегося брокером и (или) дилером, по поставке денег и (или) ценных бумаг перед третьей стороной, за минусом суммы денег данного клиента, находящихся на банковском счете брокера и (или) дилера или Управляющего, являющегося брокером и (или) дилером, без учета суммы денег, являющихся обеспечением по заключенным маржинальным сделкам.</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69"/>
    <w:p>
      <w:pPr>
        <w:spacing w:after="0"/>
        <w:ind w:left="0"/>
        <w:jc w:val="both"/>
      </w:pPr>
      <w:r>
        <w:rPr>
          <w:rFonts w:ascii="Times New Roman"/>
          <w:b w:val="false"/>
          <w:i w:val="false"/>
          <w:color w:val="000000"/>
          <w:sz w:val="28"/>
        </w:rPr>
        <w:t xml:space="preserve">
      78. Отношение размера риска брокера и (или) дилера или Управляющего, являющегося брокером и (или) дилером, на одного клиента к собственному капиталу брокера и (или) дилера или Управляющего, являющегося брокером и (или) дилером не превышает: </w:t>
      </w:r>
    </w:p>
    <w:bookmarkEnd w:id="169"/>
    <w:p>
      <w:pPr>
        <w:spacing w:after="0"/>
        <w:ind w:left="0"/>
        <w:jc w:val="both"/>
      </w:pPr>
      <w:r>
        <w:rPr>
          <w:rFonts w:ascii="Times New Roman"/>
          <w:b w:val="false"/>
          <w:i w:val="false"/>
          <w:color w:val="000000"/>
          <w:sz w:val="28"/>
        </w:rPr>
        <w:t>
      1) для клиентов, отнесенных в категорию с высокой степенью надежности (платежеспособности) - 0,25;</w:t>
      </w:r>
    </w:p>
    <w:p>
      <w:pPr>
        <w:spacing w:after="0"/>
        <w:ind w:left="0"/>
        <w:jc w:val="both"/>
      </w:pPr>
      <w:r>
        <w:rPr>
          <w:rFonts w:ascii="Times New Roman"/>
          <w:b w:val="false"/>
          <w:i w:val="false"/>
          <w:color w:val="000000"/>
          <w:sz w:val="28"/>
        </w:rPr>
        <w:t>
      2) для клиентов, отнесенных в категорию с низкой степенью надежности (платежеспособности) - 0,10.</w:t>
      </w:r>
    </w:p>
    <w:p>
      <w:pPr>
        <w:spacing w:after="0"/>
        <w:ind w:left="0"/>
        <w:jc w:val="both"/>
      </w:pPr>
      <w:r>
        <w:rPr>
          <w:rFonts w:ascii="Times New Roman"/>
          <w:b w:val="false"/>
          <w:i w:val="false"/>
          <w:color w:val="000000"/>
          <w:sz w:val="28"/>
        </w:rPr>
        <w:t>
      Для клиентов, отнесенных в прочие категории, определенные внутренними документами брокера и (или) дилера или Управляющего, являющегося брокером и (или) дилером, отношение размера риска устанавливается данным брокером и (или) дилером самостоятельно, но в пределах установленных подпунктами 1) и 2) настоящего пункта.</w:t>
      </w:r>
    </w:p>
    <w:bookmarkStart w:name="z127" w:id="170"/>
    <w:p>
      <w:pPr>
        <w:spacing w:after="0"/>
        <w:ind w:left="0"/>
        <w:jc w:val="both"/>
      </w:pPr>
      <w:r>
        <w:rPr>
          <w:rFonts w:ascii="Times New Roman"/>
          <w:b w:val="false"/>
          <w:i w:val="false"/>
          <w:color w:val="000000"/>
          <w:sz w:val="28"/>
        </w:rPr>
        <w:t xml:space="preserve">
      79. Расчет значений рисков на одного клиента оформляется в виде отчета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70"/>
    <w:bookmarkStart w:name="z128" w:id="171"/>
    <w:p>
      <w:pPr>
        <w:spacing w:after="0"/>
        <w:ind w:left="0"/>
        <w:jc w:val="both"/>
      </w:pPr>
      <w:r>
        <w:rPr>
          <w:rFonts w:ascii="Times New Roman"/>
          <w:b w:val="false"/>
          <w:i w:val="false"/>
          <w:color w:val="000000"/>
          <w:sz w:val="28"/>
        </w:rPr>
        <w:t xml:space="preserve">
      80. Брокер и (или) дилер или Управляющий, являющийся брокером и (или) дилером, обеспечивает ежедневное резервирование и хранение информации, изложенной в </w:t>
      </w:r>
      <w:r>
        <w:rPr>
          <w:rFonts w:ascii="Times New Roman"/>
          <w:b w:val="false"/>
          <w:i w:val="false"/>
          <w:color w:val="000000"/>
          <w:sz w:val="28"/>
        </w:rPr>
        <w:t>пункте 79</w:t>
      </w:r>
      <w:r>
        <w:rPr>
          <w:rFonts w:ascii="Times New Roman"/>
          <w:b w:val="false"/>
          <w:i w:val="false"/>
          <w:color w:val="000000"/>
          <w:sz w:val="28"/>
        </w:rPr>
        <w:t xml:space="preserve"> Правил на электронном носителе. </w:t>
      </w:r>
    </w:p>
    <w:bookmarkEnd w:id="171"/>
    <w:bookmarkStart w:name="z129" w:id="172"/>
    <w:p>
      <w:pPr>
        <w:spacing w:after="0"/>
        <w:ind w:left="0"/>
        <w:jc w:val="left"/>
      </w:pPr>
      <w:r>
        <w:rPr>
          <w:rFonts w:ascii="Times New Roman"/>
          <w:b/>
          <w:i w:val="false"/>
          <w:color w:val="000000"/>
        </w:rPr>
        <w:t xml:space="preserve"> Глава 8. Требования к организации внутреннего контроля и внутреннего аудита</w:t>
      </w:r>
    </w:p>
    <w:bookmarkEnd w:id="172"/>
    <w:p>
      <w:pPr>
        <w:spacing w:after="0"/>
        <w:ind w:left="0"/>
        <w:jc w:val="both"/>
      </w:pPr>
      <w:r>
        <w:rPr>
          <w:rFonts w:ascii="Times New Roman"/>
          <w:b w:val="false"/>
          <w:i w:val="false"/>
          <w:color w:val="ff0000"/>
          <w:sz w:val="28"/>
        </w:rPr>
        <w:t xml:space="preserve">
      Сноска. Заголовок главы 8 -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 w:id="173"/>
    <w:p>
      <w:pPr>
        <w:spacing w:after="0"/>
        <w:ind w:left="0"/>
        <w:jc w:val="both"/>
      </w:pPr>
      <w:r>
        <w:rPr>
          <w:rFonts w:ascii="Times New Roman"/>
          <w:b w:val="false"/>
          <w:i w:val="false"/>
          <w:color w:val="000000"/>
          <w:sz w:val="28"/>
        </w:rPr>
        <w:t>
      81. Система внутреннего контроля в брокере и (или) дилере, Управляющем создается для:</w:t>
      </w:r>
    </w:p>
    <w:bookmarkEnd w:id="173"/>
    <w:p>
      <w:pPr>
        <w:spacing w:after="0"/>
        <w:ind w:left="0"/>
        <w:jc w:val="both"/>
      </w:pPr>
      <w:r>
        <w:rPr>
          <w:rFonts w:ascii="Times New Roman"/>
          <w:b w:val="false"/>
          <w:i w:val="false"/>
          <w:color w:val="000000"/>
          <w:sz w:val="28"/>
        </w:rPr>
        <w:t>
      1) обеспечения операционной и финансовой эффективности деятельности брокера и (или) дилера, Управляющего посредством проверки эффективности и рентабельности осуществления деятельности брокера и (или) дилера, Управляющего и определения вероятности убытков;</w:t>
      </w:r>
    </w:p>
    <w:p>
      <w:pPr>
        <w:spacing w:after="0"/>
        <w:ind w:left="0"/>
        <w:jc w:val="both"/>
      </w:pPr>
      <w:r>
        <w:rPr>
          <w:rFonts w:ascii="Times New Roman"/>
          <w:b w:val="false"/>
          <w:i w:val="false"/>
          <w:color w:val="000000"/>
          <w:sz w:val="28"/>
        </w:rPr>
        <w:t>
      2) обеспечения надежности, полноты и своевременности финансовой и управленческой информации посредством проверки достоверности и качественного составления финансовой отчетности брокера и (или) дилера, Управляющего;</w:t>
      </w:r>
    </w:p>
    <w:p>
      <w:pPr>
        <w:spacing w:after="0"/>
        <w:ind w:left="0"/>
        <w:jc w:val="both"/>
      </w:pPr>
      <w:r>
        <w:rPr>
          <w:rFonts w:ascii="Times New Roman"/>
          <w:b w:val="false"/>
          <w:i w:val="false"/>
          <w:color w:val="000000"/>
          <w:sz w:val="28"/>
        </w:rPr>
        <w:t>
      3) обеспечения соблюдения требований законодательства Республики Казахстан о рынке ценных бумаг, инвестиционных фондах и акционерных обществах посредством проверки соблюдения брокером и (или) дилером, Управляющим требований законодательства Республики Казахстан о рынке ценных бумаг, инвестиционных фондах и акционерных обществах, документов, определяющих внутреннюю политику и процедуры брокера и (или) дилера, Управляющего.</w:t>
      </w:r>
    </w:p>
    <w:bookmarkStart w:name="z131" w:id="174"/>
    <w:p>
      <w:pPr>
        <w:spacing w:after="0"/>
        <w:ind w:left="0"/>
        <w:jc w:val="both"/>
      </w:pPr>
      <w:r>
        <w:rPr>
          <w:rFonts w:ascii="Times New Roman"/>
          <w:b w:val="false"/>
          <w:i w:val="false"/>
          <w:color w:val="000000"/>
          <w:sz w:val="28"/>
        </w:rPr>
        <w:t>
      82. Система внутреннего контроля состоит из пяти взаимосвязанных элементов:</w:t>
      </w:r>
    </w:p>
    <w:bookmarkEnd w:id="174"/>
    <w:p>
      <w:pPr>
        <w:spacing w:after="0"/>
        <w:ind w:left="0"/>
        <w:jc w:val="both"/>
      </w:pPr>
      <w:r>
        <w:rPr>
          <w:rFonts w:ascii="Times New Roman"/>
          <w:b w:val="false"/>
          <w:i w:val="false"/>
          <w:color w:val="000000"/>
          <w:sz w:val="28"/>
        </w:rPr>
        <w:t>
      1) управленческий контроль;</w:t>
      </w:r>
    </w:p>
    <w:p>
      <w:pPr>
        <w:spacing w:after="0"/>
        <w:ind w:left="0"/>
        <w:jc w:val="both"/>
      </w:pPr>
      <w:r>
        <w:rPr>
          <w:rFonts w:ascii="Times New Roman"/>
          <w:b w:val="false"/>
          <w:i w:val="false"/>
          <w:color w:val="000000"/>
          <w:sz w:val="28"/>
        </w:rPr>
        <w:t>
      2) выявление и оценка риска;</w:t>
      </w:r>
    </w:p>
    <w:p>
      <w:pPr>
        <w:spacing w:after="0"/>
        <w:ind w:left="0"/>
        <w:jc w:val="both"/>
      </w:pPr>
      <w:r>
        <w:rPr>
          <w:rFonts w:ascii="Times New Roman"/>
          <w:b w:val="false"/>
          <w:i w:val="false"/>
          <w:color w:val="000000"/>
          <w:sz w:val="28"/>
        </w:rPr>
        <w:t>
      3) осуществление контроля и разделение полномочий;</w:t>
      </w:r>
    </w:p>
    <w:p>
      <w:pPr>
        <w:spacing w:after="0"/>
        <w:ind w:left="0"/>
        <w:jc w:val="both"/>
      </w:pPr>
      <w:r>
        <w:rPr>
          <w:rFonts w:ascii="Times New Roman"/>
          <w:b w:val="false"/>
          <w:i w:val="false"/>
          <w:color w:val="000000"/>
          <w:sz w:val="28"/>
        </w:rPr>
        <w:t>
      4) информация и взаимодействие;</w:t>
      </w:r>
    </w:p>
    <w:p>
      <w:pPr>
        <w:spacing w:after="0"/>
        <w:ind w:left="0"/>
        <w:jc w:val="both"/>
      </w:pPr>
      <w:r>
        <w:rPr>
          <w:rFonts w:ascii="Times New Roman"/>
          <w:b w:val="false"/>
          <w:i w:val="false"/>
          <w:color w:val="000000"/>
          <w:sz w:val="28"/>
        </w:rPr>
        <w:t>
      5) мониторинг и исправление недостатков.</w:t>
      </w:r>
    </w:p>
    <w:bookmarkStart w:name="z132" w:id="175"/>
    <w:p>
      <w:pPr>
        <w:spacing w:after="0"/>
        <w:ind w:left="0"/>
        <w:jc w:val="both"/>
      </w:pPr>
      <w:r>
        <w:rPr>
          <w:rFonts w:ascii="Times New Roman"/>
          <w:b w:val="false"/>
          <w:i w:val="false"/>
          <w:color w:val="000000"/>
          <w:sz w:val="28"/>
        </w:rPr>
        <w:t>
      83. Функционирование системы внутреннего контроля должно происходить по принципу непрерывного поочередного прохождения следующих трех этапов:</w:t>
      </w:r>
    </w:p>
    <w:bookmarkEnd w:id="175"/>
    <w:p>
      <w:pPr>
        <w:spacing w:after="0"/>
        <w:ind w:left="0"/>
        <w:jc w:val="both"/>
      </w:pPr>
      <w:r>
        <w:rPr>
          <w:rFonts w:ascii="Times New Roman"/>
          <w:b w:val="false"/>
          <w:i w:val="false"/>
          <w:color w:val="000000"/>
          <w:sz w:val="28"/>
        </w:rPr>
        <w:t>
      1) формирование системы внутреннего контроля (с учетом результатов оценки эффективности) путем включения процедур во внутренние документы брокера и (или) дилера, Управляющего;</w:t>
      </w:r>
    </w:p>
    <w:p>
      <w:pPr>
        <w:spacing w:after="0"/>
        <w:ind w:left="0"/>
        <w:jc w:val="both"/>
      </w:pPr>
      <w:r>
        <w:rPr>
          <w:rFonts w:ascii="Times New Roman"/>
          <w:b w:val="false"/>
          <w:i w:val="false"/>
          <w:color w:val="000000"/>
          <w:sz w:val="28"/>
        </w:rPr>
        <w:t>
      2) использование в работе процедур системы внутреннего контроля, определенных внутренними документами брокера и (или) дилера, Управляющего;</w:t>
      </w:r>
    </w:p>
    <w:p>
      <w:pPr>
        <w:spacing w:after="0"/>
        <w:ind w:left="0"/>
        <w:jc w:val="both"/>
      </w:pPr>
      <w:r>
        <w:rPr>
          <w:rFonts w:ascii="Times New Roman"/>
          <w:b w:val="false"/>
          <w:i w:val="false"/>
          <w:color w:val="000000"/>
          <w:sz w:val="28"/>
        </w:rPr>
        <w:t>
      3) проведение оценки эффективности системы внутреннего контроля.</w:t>
      </w:r>
    </w:p>
    <w:bookmarkStart w:name="z133" w:id="176"/>
    <w:p>
      <w:pPr>
        <w:spacing w:after="0"/>
        <w:ind w:left="0"/>
        <w:jc w:val="both"/>
      </w:pPr>
      <w:r>
        <w:rPr>
          <w:rFonts w:ascii="Times New Roman"/>
          <w:b w:val="false"/>
          <w:i w:val="false"/>
          <w:color w:val="000000"/>
          <w:sz w:val="28"/>
        </w:rPr>
        <w:t>
      84. Система внутреннего контроля включает:</w:t>
      </w:r>
    </w:p>
    <w:bookmarkEnd w:id="176"/>
    <w:p>
      <w:pPr>
        <w:spacing w:after="0"/>
        <w:ind w:left="0"/>
        <w:jc w:val="both"/>
      </w:pPr>
      <w:r>
        <w:rPr>
          <w:rFonts w:ascii="Times New Roman"/>
          <w:b w:val="false"/>
          <w:i w:val="false"/>
          <w:color w:val="000000"/>
          <w:sz w:val="28"/>
        </w:rPr>
        <w:t>
      1) проверку достижения брокером и (или) дилером, Управляющим поставленных целей и задач, посредством представления органу управления (наблюдательному совету) и исполнительному органу брокера и (или) дилера и (или) отчетов о текущих результатах финансовой деятельности брокера и (или) дилера, Управляющего, с приложением плановых показателей финансовой деятельности;</w:t>
      </w:r>
    </w:p>
    <w:p>
      <w:pPr>
        <w:spacing w:after="0"/>
        <w:ind w:left="0"/>
        <w:jc w:val="both"/>
      </w:pPr>
      <w:r>
        <w:rPr>
          <w:rFonts w:ascii="Times New Roman"/>
          <w:b w:val="false"/>
          <w:i w:val="false"/>
          <w:color w:val="000000"/>
          <w:sz w:val="28"/>
        </w:rPr>
        <w:t>
      2) постоянный контроль руководителем подразделения результатов деятельности подразделения, включающий мониторинг наличия отклонений от плановых показателей и выявление причин таких отклонений;</w:t>
      </w:r>
    </w:p>
    <w:p>
      <w:pPr>
        <w:spacing w:after="0"/>
        <w:ind w:left="0"/>
        <w:jc w:val="both"/>
      </w:pPr>
      <w:r>
        <w:rPr>
          <w:rFonts w:ascii="Times New Roman"/>
          <w:b w:val="false"/>
          <w:i w:val="false"/>
          <w:color w:val="000000"/>
          <w:sz w:val="28"/>
        </w:rPr>
        <w:t>
      3) проверку руководящими работниками брокера и (или) дилера, Управляющего стандартных отчетов руководителей подразделений брокера и (или) дилера, Управляющего о результатах деятельности подразделений, включающих указание отклонений от плановых показателей и причин невыполнения плановых показателей;</w:t>
      </w:r>
    </w:p>
    <w:p>
      <w:pPr>
        <w:spacing w:after="0"/>
        <w:ind w:left="0"/>
        <w:jc w:val="both"/>
      </w:pPr>
      <w:r>
        <w:rPr>
          <w:rFonts w:ascii="Times New Roman"/>
          <w:b w:val="false"/>
          <w:i w:val="false"/>
          <w:color w:val="000000"/>
          <w:sz w:val="28"/>
        </w:rPr>
        <w:t>
      4) двухуровневый контроль операций, осуществляемых брокером и (или) дилером, Управляющим в рамках лицензируемых видов деятельности;</w:t>
      </w:r>
    </w:p>
    <w:p>
      <w:pPr>
        <w:spacing w:after="0"/>
        <w:ind w:left="0"/>
        <w:jc w:val="both"/>
      </w:pPr>
      <w:r>
        <w:rPr>
          <w:rFonts w:ascii="Times New Roman"/>
          <w:b w:val="false"/>
          <w:i w:val="false"/>
          <w:color w:val="000000"/>
          <w:sz w:val="28"/>
        </w:rPr>
        <w:t>
      5) ограничение доступа к имуществу брокера и (или) дилера, Управляющего;</w:t>
      </w:r>
    </w:p>
    <w:p>
      <w:pPr>
        <w:spacing w:after="0"/>
        <w:ind w:left="0"/>
        <w:jc w:val="both"/>
      </w:pPr>
      <w:r>
        <w:rPr>
          <w:rFonts w:ascii="Times New Roman"/>
          <w:b w:val="false"/>
          <w:i w:val="false"/>
          <w:color w:val="000000"/>
          <w:sz w:val="28"/>
        </w:rPr>
        <w:t>
      6) проверку соблюдения установленных лимитов и реализацию мероприятий по устранению выявленных несоответствий;</w:t>
      </w:r>
    </w:p>
    <w:p>
      <w:pPr>
        <w:spacing w:after="0"/>
        <w:ind w:left="0"/>
        <w:jc w:val="both"/>
      </w:pPr>
      <w:r>
        <w:rPr>
          <w:rFonts w:ascii="Times New Roman"/>
          <w:b w:val="false"/>
          <w:i w:val="false"/>
          <w:color w:val="000000"/>
          <w:sz w:val="28"/>
        </w:rPr>
        <w:t>
      7) установление требований к перечню операций, требующих обязательной авторизации;</w:t>
      </w:r>
    </w:p>
    <w:p>
      <w:pPr>
        <w:spacing w:after="0"/>
        <w:ind w:left="0"/>
        <w:jc w:val="both"/>
      </w:pPr>
      <w:r>
        <w:rPr>
          <w:rFonts w:ascii="Times New Roman"/>
          <w:b w:val="false"/>
          <w:i w:val="false"/>
          <w:color w:val="000000"/>
          <w:sz w:val="28"/>
        </w:rPr>
        <w:t>
      8) проверку условий совершения операций и результатов применения моделей управления рисками, связанных с деятельностью брокера и (или) дилера, Управляющего;</w:t>
      </w:r>
    </w:p>
    <w:p>
      <w:pPr>
        <w:spacing w:after="0"/>
        <w:ind w:left="0"/>
        <w:jc w:val="both"/>
      </w:pPr>
      <w:r>
        <w:rPr>
          <w:rFonts w:ascii="Times New Roman"/>
          <w:b w:val="false"/>
          <w:i w:val="false"/>
          <w:color w:val="000000"/>
          <w:sz w:val="28"/>
        </w:rPr>
        <w:t>
      9) проверку своевременности, правильности, полноты и точности отражения проведенных операций в учете и отчетности брокера и (или) дилера, Управляющего;</w:t>
      </w:r>
    </w:p>
    <w:p>
      <w:pPr>
        <w:spacing w:after="0"/>
        <w:ind w:left="0"/>
        <w:jc w:val="both"/>
      </w:pPr>
      <w:r>
        <w:rPr>
          <w:rFonts w:ascii="Times New Roman"/>
          <w:b w:val="false"/>
          <w:i w:val="false"/>
          <w:color w:val="000000"/>
          <w:sz w:val="28"/>
        </w:rPr>
        <w:t>
      10) предотвращение использования услуг брокера и (или) дилера, Управляющего в преступных целях, целях легализации (отмывания) доходов, полученных преступным путем, и финансирования терроризма.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с изменением, внесенным постановлением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77"/>
    <w:p>
      <w:pPr>
        <w:spacing w:after="0"/>
        <w:ind w:left="0"/>
        <w:jc w:val="both"/>
      </w:pPr>
      <w:r>
        <w:rPr>
          <w:rFonts w:ascii="Times New Roman"/>
          <w:b w:val="false"/>
          <w:i w:val="false"/>
          <w:color w:val="000000"/>
          <w:sz w:val="28"/>
        </w:rPr>
        <w:t>
       85. Служба внутреннего аудита создается с целью решения задач, возникающих при осуществлении органом управления (наблюдательным советом) функций по обеспечению наличия и функционирования адекватной системы внутреннего контроля путем предоставления объективной оценки состояния системы внутреннего контроля и рекомендаций по их совершенствованию.</w:t>
      </w:r>
    </w:p>
    <w:bookmarkEnd w:id="177"/>
    <w:p>
      <w:pPr>
        <w:spacing w:after="0"/>
        <w:ind w:left="0"/>
        <w:jc w:val="both"/>
      </w:pPr>
      <w:r>
        <w:rPr>
          <w:rFonts w:ascii="Times New Roman"/>
          <w:b w:val="false"/>
          <w:i w:val="false"/>
          <w:color w:val="000000"/>
          <w:sz w:val="28"/>
        </w:rPr>
        <w:t>
      Целью внутреннего аудита является оценка адекватности и эффективности систем внутреннего контроля и управления рисками по всем аспектам деятельности брокера и (или) дилера, Управляющего, контроль за соблюдением внутренних правил и процедур брокера и (или) дилера, Управляющего, исполнением рекомендаций внутренних и внешних аудиторов, мер воздействия и требований уполномоченного органа, установленных в отношении осуществления деятельности на финансовом рынке, обеспечение своевременной и достоверной информацией о состоянии выполнения подразделениями и работниками брокера и (или) дилера, Управляющего, возложенных функций и задач, а также предоставление действенных и эффективных рекомендаций по улучшению работы.</w:t>
      </w:r>
    </w:p>
    <w:bookmarkStart w:name="z135" w:id="178"/>
    <w:p>
      <w:pPr>
        <w:spacing w:after="0"/>
        <w:ind w:left="0"/>
        <w:jc w:val="both"/>
      </w:pPr>
      <w:r>
        <w:rPr>
          <w:rFonts w:ascii="Times New Roman"/>
          <w:b w:val="false"/>
          <w:i w:val="false"/>
          <w:color w:val="000000"/>
          <w:sz w:val="28"/>
        </w:rPr>
        <w:t>
      86. Руководитель и работники службы внутреннего аудита назначаются органом управления (наблюдательным советом) брокера и (или) дилера, Управляющего и имеют доступ ко всем необходимым документам, связанным с деятельностью проверяемого подразделения брокера и (или) дилера, Управляющего, а также их филиалов и представительств, в том числе составляющим коммерческую и служебную тайну на рынке ценных бумаг.</w:t>
      </w:r>
    </w:p>
    <w:bookmarkEnd w:id="178"/>
    <w:bookmarkStart w:name="z136" w:id="179"/>
    <w:p>
      <w:pPr>
        <w:spacing w:after="0"/>
        <w:ind w:left="0"/>
        <w:jc w:val="both"/>
      </w:pPr>
      <w:r>
        <w:rPr>
          <w:rFonts w:ascii="Times New Roman"/>
          <w:b w:val="false"/>
          <w:i w:val="false"/>
          <w:color w:val="000000"/>
          <w:sz w:val="28"/>
        </w:rPr>
        <w:t>
      87. Руководитель и работники службы внутреннего аудита соответствуют следующим требованиям:</w:t>
      </w:r>
    </w:p>
    <w:bookmarkEnd w:id="179"/>
    <w:p>
      <w:pPr>
        <w:spacing w:after="0"/>
        <w:ind w:left="0"/>
        <w:jc w:val="both"/>
      </w:pPr>
      <w:r>
        <w:rPr>
          <w:rFonts w:ascii="Times New Roman"/>
          <w:b w:val="false"/>
          <w:i w:val="false"/>
          <w:color w:val="000000"/>
          <w:sz w:val="28"/>
        </w:rPr>
        <w:t>
      имеют высшее экономическое, юридическое, математическое или техническое образование;</w:t>
      </w:r>
    </w:p>
    <w:p>
      <w:pPr>
        <w:spacing w:after="0"/>
        <w:ind w:left="0"/>
        <w:jc w:val="both"/>
      </w:pPr>
      <w:r>
        <w:rPr>
          <w:rFonts w:ascii="Times New Roman"/>
          <w:b w:val="false"/>
          <w:i w:val="false"/>
          <w:color w:val="000000"/>
          <w:sz w:val="28"/>
        </w:rPr>
        <w:t>
      обладают знаниями законодательства Республики Казахстан, регулирующего деятельность брокера и (или) дилера, Управляющего;</w:t>
      </w:r>
    </w:p>
    <w:p>
      <w:pPr>
        <w:spacing w:after="0"/>
        <w:ind w:left="0"/>
        <w:jc w:val="both"/>
      </w:pPr>
      <w:r>
        <w:rPr>
          <w:rFonts w:ascii="Times New Roman"/>
          <w:b w:val="false"/>
          <w:i w:val="false"/>
          <w:color w:val="000000"/>
          <w:sz w:val="28"/>
        </w:rPr>
        <w:t>
      имеют стаж (опыт) работы в сфере предоставления или регулирования финансовых услуг не менее одного года;</w:t>
      </w:r>
    </w:p>
    <w:p>
      <w:pPr>
        <w:spacing w:after="0"/>
        <w:ind w:left="0"/>
        <w:jc w:val="both"/>
      </w:pPr>
      <w:r>
        <w:rPr>
          <w:rFonts w:ascii="Times New Roman"/>
          <w:b w:val="false"/>
          <w:i w:val="false"/>
          <w:color w:val="000000"/>
          <w:sz w:val="28"/>
        </w:rPr>
        <w:t>
      имеют сертификат или другой документ, удостоверяющий прохождение специализированных курсов по внутреннему аудиту или системе управления рисками;</w:t>
      </w:r>
    </w:p>
    <w:p>
      <w:pPr>
        <w:spacing w:after="0"/>
        <w:ind w:left="0"/>
        <w:jc w:val="both"/>
      </w:pPr>
      <w:r>
        <w:rPr>
          <w:rFonts w:ascii="Times New Roman"/>
          <w:b w:val="false"/>
          <w:i w:val="false"/>
          <w:color w:val="000000"/>
          <w:sz w:val="28"/>
        </w:rPr>
        <w:t>
      не имеют непогашенной или неснятой в установленном законом порядке судимости за преступления в сфере экономической деятельности или за преступления средней тяжести, тяжкие и особо тяжкие преступления.</w:t>
      </w:r>
    </w:p>
    <w:bookmarkStart w:name="z137" w:id="180"/>
    <w:p>
      <w:pPr>
        <w:spacing w:after="0"/>
        <w:ind w:left="0"/>
        <w:jc w:val="both"/>
      </w:pPr>
      <w:r>
        <w:rPr>
          <w:rFonts w:ascii="Times New Roman"/>
          <w:b w:val="false"/>
          <w:i w:val="false"/>
          <w:color w:val="000000"/>
          <w:sz w:val="28"/>
        </w:rPr>
        <w:t>
      88. Проверки деятельности подразделений, филиалов и представительств брокера и (или) дилера или Управляющего осуществляются службой внутреннего аудита в соответствии с планом проверок, утверждаемым органом управления (наблюдательным советом) брокера и (или) дилера, Управляющего.</w:t>
      </w:r>
    </w:p>
    <w:bookmarkEnd w:id="180"/>
    <w:p>
      <w:pPr>
        <w:spacing w:after="0"/>
        <w:ind w:left="0"/>
        <w:jc w:val="both"/>
      </w:pPr>
      <w:r>
        <w:rPr>
          <w:rFonts w:ascii="Times New Roman"/>
          <w:b w:val="false"/>
          <w:i w:val="false"/>
          <w:color w:val="000000"/>
          <w:sz w:val="28"/>
        </w:rPr>
        <w:t>
      Проверки деятельности инвестиционного комитета Управляющего или брокера и (или) дилера, являющегося Управляющим, осуществляются службой внутреннего аудита с периодичностью не менее одного раза в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81"/>
    <w:p>
      <w:pPr>
        <w:spacing w:after="0"/>
        <w:ind w:left="0"/>
        <w:jc w:val="both"/>
      </w:pPr>
      <w:r>
        <w:rPr>
          <w:rFonts w:ascii="Times New Roman"/>
          <w:b w:val="false"/>
          <w:i w:val="false"/>
          <w:color w:val="000000"/>
          <w:sz w:val="28"/>
        </w:rPr>
        <w:t>
      89. Основными функциями службы внутреннего аудита являются:</w:t>
      </w:r>
    </w:p>
    <w:bookmarkEnd w:id="181"/>
    <w:p>
      <w:pPr>
        <w:spacing w:after="0"/>
        <w:ind w:left="0"/>
        <w:jc w:val="both"/>
      </w:pPr>
      <w:r>
        <w:rPr>
          <w:rFonts w:ascii="Times New Roman"/>
          <w:b w:val="false"/>
          <w:i w:val="false"/>
          <w:color w:val="000000"/>
          <w:sz w:val="28"/>
        </w:rPr>
        <w:t>
      1) проверка подразделений, филиалов и представительств брокера и (или) дилера, Управляющего, а также инвестиционного комитета Управляющего, брокера и (или) дилера, являющегося Управляющим;</w:t>
      </w:r>
    </w:p>
    <w:p>
      <w:pPr>
        <w:spacing w:after="0"/>
        <w:ind w:left="0"/>
        <w:jc w:val="both"/>
      </w:pPr>
      <w:r>
        <w:rPr>
          <w:rFonts w:ascii="Times New Roman"/>
          <w:b w:val="false"/>
          <w:i w:val="false"/>
          <w:color w:val="000000"/>
          <w:sz w:val="28"/>
        </w:rPr>
        <w:t>
      2) подготовка отчетов для органа управления (наблюдательного совета), исполнительного органа брокера и (или) дилера, Управляющего, по результатам проверок, содержащих выводы об имеющихся недостатках и рекомендации по улучшению деятельности брокера и (или) дилера, Управляющего;</w:t>
      </w:r>
    </w:p>
    <w:p>
      <w:pPr>
        <w:spacing w:after="0"/>
        <w:ind w:left="0"/>
        <w:jc w:val="both"/>
      </w:pPr>
      <w:r>
        <w:rPr>
          <w:rFonts w:ascii="Times New Roman"/>
          <w:b w:val="false"/>
          <w:i w:val="false"/>
          <w:color w:val="000000"/>
          <w:sz w:val="28"/>
        </w:rPr>
        <w:t>
      3) осуществление контроля за эффективностью принятых подразделениями и органами брокера и (или) дилера, Управляющего мер по результатам проверок подразделений брокера и (или) дилера, Управляющего, обеспечивающих снижение уровня выявленных рисков, или документирование принятия руководством подразделения и (или) органами управления (наблюдательным советом) решения о приемлемости выявленных рисков для брокера и (или) дилера, Управляющего;</w:t>
      </w:r>
    </w:p>
    <w:p>
      <w:pPr>
        <w:spacing w:after="0"/>
        <w:ind w:left="0"/>
        <w:jc w:val="both"/>
      </w:pPr>
      <w:r>
        <w:rPr>
          <w:rFonts w:ascii="Times New Roman"/>
          <w:b w:val="false"/>
          <w:i w:val="false"/>
          <w:color w:val="000000"/>
          <w:sz w:val="28"/>
        </w:rPr>
        <w:t>
      4) определение области риска в операциях брокера и (или) дилера, Управляющего, которые необходимо подвергнуть внутреннему и внешнему аудитам;</w:t>
      </w:r>
    </w:p>
    <w:p>
      <w:pPr>
        <w:spacing w:after="0"/>
        <w:ind w:left="0"/>
        <w:jc w:val="both"/>
      </w:pPr>
      <w:r>
        <w:rPr>
          <w:rFonts w:ascii="Times New Roman"/>
          <w:b w:val="false"/>
          <w:i w:val="false"/>
          <w:color w:val="000000"/>
          <w:sz w:val="28"/>
        </w:rPr>
        <w:t>
      5) оценка процедур внутреннего контроля брокера и (или) дилера, Управляющего на предмет обеспечения достоверности и точности финансовой информации, предоставляемой руководству брокера и (или) дилера, Управляющего, и внешним пользователям;</w:t>
      </w:r>
    </w:p>
    <w:p>
      <w:pPr>
        <w:spacing w:after="0"/>
        <w:ind w:left="0"/>
        <w:jc w:val="both"/>
      </w:pPr>
      <w:r>
        <w:rPr>
          <w:rFonts w:ascii="Times New Roman"/>
          <w:b w:val="false"/>
          <w:i w:val="false"/>
          <w:color w:val="000000"/>
          <w:sz w:val="28"/>
        </w:rPr>
        <w:t>
      6) другие функции, предусмотренные внутренними документами брокера и (или) дилера, Управляющего.</w:t>
      </w:r>
    </w:p>
    <w:bookmarkStart w:name="z139" w:id="182"/>
    <w:p>
      <w:pPr>
        <w:spacing w:after="0"/>
        <w:ind w:left="0"/>
        <w:jc w:val="both"/>
      </w:pPr>
      <w:r>
        <w:rPr>
          <w:rFonts w:ascii="Times New Roman"/>
          <w:b w:val="false"/>
          <w:i w:val="false"/>
          <w:color w:val="000000"/>
          <w:sz w:val="28"/>
        </w:rPr>
        <w:t>
      90. В ходе проверки, проводимой службой внутреннего аудита, рассмотрению подлежат следующие вопросы:</w:t>
      </w:r>
    </w:p>
    <w:bookmarkEnd w:id="182"/>
    <w:p>
      <w:pPr>
        <w:spacing w:after="0"/>
        <w:ind w:left="0"/>
        <w:jc w:val="both"/>
      </w:pPr>
      <w:r>
        <w:rPr>
          <w:rFonts w:ascii="Times New Roman"/>
          <w:b w:val="false"/>
          <w:i w:val="false"/>
          <w:color w:val="000000"/>
          <w:sz w:val="28"/>
        </w:rPr>
        <w:t>
      1) проверка процессов и процедур внутреннего контроля, оценка их эффективности;</w:t>
      </w:r>
    </w:p>
    <w:p>
      <w:pPr>
        <w:spacing w:after="0"/>
        <w:ind w:left="0"/>
        <w:jc w:val="both"/>
      </w:pPr>
      <w:r>
        <w:rPr>
          <w:rFonts w:ascii="Times New Roman"/>
          <w:b w:val="false"/>
          <w:i w:val="false"/>
          <w:color w:val="000000"/>
          <w:sz w:val="28"/>
        </w:rPr>
        <w:t>
      2) проверка полноты применения и эффективности методологии оценки рисков и процедур управления рисками (методик, программ, правил, порядков и процедур совершения операций);</w:t>
      </w:r>
    </w:p>
    <w:p>
      <w:pPr>
        <w:spacing w:after="0"/>
        <w:ind w:left="0"/>
        <w:jc w:val="both"/>
      </w:pPr>
      <w:r>
        <w:rPr>
          <w:rFonts w:ascii="Times New Roman"/>
          <w:b w:val="false"/>
          <w:i w:val="false"/>
          <w:color w:val="000000"/>
          <w:sz w:val="28"/>
        </w:rPr>
        <w:t>
      3) проверка эффективности функционирования автоматизированных информационных систем, включая контроль целостности баз данных и их защиты от несанкционированного доступа, наличие планов действий на случай непредвиденных обстоятельств;</w:t>
      </w:r>
    </w:p>
    <w:p>
      <w:pPr>
        <w:spacing w:after="0"/>
        <w:ind w:left="0"/>
        <w:jc w:val="both"/>
      </w:pPr>
      <w:r>
        <w:rPr>
          <w:rFonts w:ascii="Times New Roman"/>
          <w:b w:val="false"/>
          <w:i w:val="false"/>
          <w:color w:val="000000"/>
          <w:sz w:val="28"/>
        </w:rPr>
        <w:t>
      4) проверка достоверности, полноты, объективности и своевременности бухгалтерского учета и отчетности, а также надежности и своевременности сбора и представления информации и отчетности;</w:t>
      </w:r>
    </w:p>
    <w:p>
      <w:pPr>
        <w:spacing w:after="0"/>
        <w:ind w:left="0"/>
        <w:jc w:val="both"/>
      </w:pPr>
      <w:r>
        <w:rPr>
          <w:rFonts w:ascii="Times New Roman"/>
          <w:b w:val="false"/>
          <w:i w:val="false"/>
          <w:color w:val="000000"/>
          <w:sz w:val="28"/>
        </w:rPr>
        <w:t>
      5) проверка достоверности, полноты, объективности и своевременности представления брокером и (или) дилером, Управляющим любых сведений и информации в рамках лицензируемых видов деятельности брокера и (или) дилера, Управляющего;</w:t>
      </w:r>
    </w:p>
    <w:p>
      <w:pPr>
        <w:spacing w:after="0"/>
        <w:ind w:left="0"/>
        <w:jc w:val="both"/>
      </w:pPr>
      <w:r>
        <w:rPr>
          <w:rFonts w:ascii="Times New Roman"/>
          <w:b w:val="false"/>
          <w:i w:val="false"/>
          <w:color w:val="000000"/>
          <w:sz w:val="28"/>
        </w:rPr>
        <w:t>
      6) проверка применяемых способов (методов) обеспечения сохранности имущества брокера и (или) дилера, Управляющего;</w:t>
      </w:r>
    </w:p>
    <w:p>
      <w:pPr>
        <w:spacing w:after="0"/>
        <w:ind w:left="0"/>
        <w:jc w:val="both"/>
      </w:pPr>
      <w:r>
        <w:rPr>
          <w:rFonts w:ascii="Times New Roman"/>
          <w:b w:val="false"/>
          <w:i w:val="false"/>
          <w:color w:val="000000"/>
          <w:sz w:val="28"/>
        </w:rPr>
        <w:t>
      7) оценка экономической целесообразности и эффективности совершаемых всех видов операций в рамках лицензируемых видов деятельности брокера и (или) дилера, Управляющего;</w:t>
      </w:r>
    </w:p>
    <w:p>
      <w:pPr>
        <w:spacing w:after="0"/>
        <w:ind w:left="0"/>
        <w:jc w:val="both"/>
      </w:pPr>
      <w:r>
        <w:rPr>
          <w:rFonts w:ascii="Times New Roman"/>
          <w:b w:val="false"/>
          <w:i w:val="false"/>
          <w:color w:val="000000"/>
          <w:sz w:val="28"/>
        </w:rPr>
        <w:t>
      8) проверка систем, созданных в целях соблюдения требований законодательства Республики Казахстан о рынке ценных бумаг, инвестиционных фондах и акционерных обществах;</w:t>
      </w:r>
    </w:p>
    <w:p>
      <w:pPr>
        <w:spacing w:after="0"/>
        <w:ind w:left="0"/>
        <w:jc w:val="both"/>
      </w:pPr>
      <w:r>
        <w:rPr>
          <w:rFonts w:ascii="Times New Roman"/>
          <w:b w:val="false"/>
          <w:i w:val="false"/>
          <w:color w:val="000000"/>
          <w:sz w:val="28"/>
        </w:rPr>
        <w:t>
      9) оценка работы службы управления персоналом брокера и (или) дилера, Управляющего;</w:t>
      </w:r>
    </w:p>
    <w:p>
      <w:pPr>
        <w:spacing w:after="0"/>
        <w:ind w:left="0"/>
        <w:jc w:val="both"/>
      </w:pPr>
      <w:r>
        <w:rPr>
          <w:rFonts w:ascii="Times New Roman"/>
          <w:b w:val="false"/>
          <w:i w:val="false"/>
          <w:color w:val="000000"/>
          <w:sz w:val="28"/>
        </w:rPr>
        <w:t>
      10) правильность обработки ежедневных балансов;</w:t>
      </w:r>
    </w:p>
    <w:p>
      <w:pPr>
        <w:spacing w:after="0"/>
        <w:ind w:left="0"/>
        <w:jc w:val="both"/>
      </w:pPr>
      <w:r>
        <w:rPr>
          <w:rFonts w:ascii="Times New Roman"/>
          <w:b w:val="false"/>
          <w:i w:val="false"/>
          <w:color w:val="000000"/>
          <w:sz w:val="28"/>
        </w:rPr>
        <w:t>
      11) соответствие учетной политики международным стандартам финансовой отчетности;</w:t>
      </w:r>
    </w:p>
    <w:p>
      <w:pPr>
        <w:spacing w:after="0"/>
        <w:ind w:left="0"/>
        <w:jc w:val="both"/>
      </w:pPr>
      <w:r>
        <w:rPr>
          <w:rFonts w:ascii="Times New Roman"/>
          <w:b w:val="false"/>
          <w:i w:val="false"/>
          <w:color w:val="000000"/>
          <w:sz w:val="28"/>
        </w:rPr>
        <w:t>
      12) наличие фактов незаконных манипуляций активами клиентов (инвестиционных фондов), принятыми в инвестиционное управление, и (или) собственными активами брокера и (или) дилера, Управляющего;</w:t>
      </w:r>
    </w:p>
    <w:p>
      <w:pPr>
        <w:spacing w:after="0"/>
        <w:ind w:left="0"/>
        <w:jc w:val="both"/>
      </w:pPr>
      <w:r>
        <w:rPr>
          <w:rFonts w:ascii="Times New Roman"/>
          <w:b w:val="false"/>
          <w:i w:val="false"/>
          <w:color w:val="000000"/>
          <w:sz w:val="28"/>
        </w:rPr>
        <w:t>
      13) правильность учета активов клиентов (инвестиционных фондов), принятых в инвестиционное управление, и (или) собственных активов брокера и (или) дилера, Управляющего.</w:t>
      </w:r>
    </w:p>
    <w:bookmarkStart w:name="z140" w:id="183"/>
    <w:p>
      <w:pPr>
        <w:spacing w:after="0"/>
        <w:ind w:left="0"/>
        <w:jc w:val="both"/>
      </w:pPr>
      <w:r>
        <w:rPr>
          <w:rFonts w:ascii="Times New Roman"/>
          <w:b w:val="false"/>
          <w:i w:val="false"/>
          <w:color w:val="000000"/>
          <w:sz w:val="28"/>
        </w:rPr>
        <w:t>
      91. Орган управления (наблюдательный совет) и исполнительный орган брокера и (или) дилера, Управляющего анализируют отчеты службы внутреннего аудита и принимают меры по недопущению нарушений, выявленных службой внутреннего аудита в дальнейшей деятельности брокера и (или) дилера, Управляющего.</w:t>
      </w:r>
    </w:p>
    <w:bookmarkEnd w:id="183"/>
    <w:p>
      <w:pPr>
        <w:spacing w:after="0"/>
        <w:ind w:left="0"/>
        <w:jc w:val="both"/>
      </w:pPr>
      <w:r>
        <w:rPr>
          <w:rFonts w:ascii="Times New Roman"/>
          <w:b w:val="false"/>
          <w:i w:val="false"/>
          <w:color w:val="000000"/>
          <w:sz w:val="28"/>
        </w:rPr>
        <w:t>
      Меры, указанные в части первой настоящего пункта, оформляются в виде решений (постановлений) органа управления (наблюдательного совета) и исполнительного органа брокера и (или) дилера, Управляющего.</w:t>
      </w:r>
    </w:p>
    <w:bookmarkStart w:name="z141" w:id="184"/>
    <w:p>
      <w:pPr>
        <w:spacing w:after="0"/>
        <w:ind w:left="0"/>
        <w:jc w:val="both"/>
      </w:pPr>
      <w:r>
        <w:rPr>
          <w:rFonts w:ascii="Times New Roman"/>
          <w:b w:val="false"/>
          <w:i w:val="false"/>
          <w:color w:val="000000"/>
          <w:sz w:val="28"/>
        </w:rPr>
        <w:t>
      92. Исполнительный орган брокера и (или) дилера, Управляющего осуществляет оперативный контроль за выполнением рекомендаций службы внутреннего аудита и отчитывается о результатах такого контроля перед органом управления (наблюдательным советом) брокера и (или) дилера, Управляющего.</w:t>
      </w:r>
    </w:p>
    <w:bookmarkEnd w:id="184"/>
    <w:bookmarkStart w:name="z174" w:id="185"/>
    <w:p>
      <w:pPr>
        <w:spacing w:after="0"/>
        <w:ind w:left="0"/>
        <w:jc w:val="both"/>
      </w:pPr>
      <w:r>
        <w:rPr>
          <w:rFonts w:ascii="Times New Roman"/>
          <w:b w:val="false"/>
          <w:i w:val="false"/>
          <w:color w:val="000000"/>
          <w:sz w:val="28"/>
        </w:rPr>
        <w:t>
      93. Отчеты службы внутреннего аудита брокера и (или) дилера, Управляющего предоставляются уполномоченному органу по его запросу.</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постановления Правления Агентства РК по регулированию и развитию финансового рынка от 30.03.2020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86"/>
    <w:p>
      <w:pPr>
        <w:spacing w:after="0"/>
        <w:ind w:left="0"/>
        <w:jc w:val="left"/>
      </w:pPr>
      <w:r>
        <w:rPr>
          <w:rFonts w:ascii="Times New Roman"/>
          <w:b/>
          <w:i w:val="false"/>
          <w:color w:val="000000"/>
        </w:rPr>
        <w:t xml:space="preserve">  Глава 9. Требования к организации системы информационного обмена</w:t>
      </w:r>
    </w:p>
    <w:bookmarkEnd w:id="186"/>
    <w:p>
      <w:pPr>
        <w:spacing w:after="0"/>
        <w:ind w:left="0"/>
        <w:jc w:val="both"/>
      </w:pPr>
      <w:r>
        <w:rPr>
          <w:rFonts w:ascii="Times New Roman"/>
          <w:b w:val="false"/>
          <w:i w:val="false"/>
          <w:color w:val="ff0000"/>
          <w:sz w:val="28"/>
        </w:rPr>
        <w:t xml:space="preserve">
      Сноска. Заголовок главы 9 -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 w:id="187"/>
    <w:p>
      <w:pPr>
        <w:spacing w:after="0"/>
        <w:ind w:left="0"/>
        <w:jc w:val="both"/>
      </w:pPr>
      <w:r>
        <w:rPr>
          <w:rFonts w:ascii="Times New Roman"/>
          <w:b w:val="false"/>
          <w:i w:val="false"/>
          <w:color w:val="000000"/>
          <w:sz w:val="28"/>
        </w:rPr>
        <w:t>
      94. Орган управления (наблюдательный совет) брокера и (или) дилера, Управляющего для осуществления своих функций получает от ответственных подразделений следующую документацию:</w:t>
      </w:r>
    </w:p>
    <w:bookmarkEnd w:id="187"/>
    <w:p>
      <w:pPr>
        <w:spacing w:after="0"/>
        <w:ind w:left="0"/>
        <w:jc w:val="both"/>
      </w:pPr>
      <w:r>
        <w:rPr>
          <w:rFonts w:ascii="Times New Roman"/>
          <w:b w:val="false"/>
          <w:i w:val="false"/>
          <w:color w:val="000000"/>
          <w:sz w:val="28"/>
        </w:rPr>
        <w:t>
      отчеты о текущих результатах финансово-хозяйственной деятельности брокера и (или) дилера, Управляющего в сравнении с тем же периодом за прошлый отчетный период и с запланированными показателями деятельности - на ежеквартальной основе;</w:t>
      </w:r>
    </w:p>
    <w:p>
      <w:pPr>
        <w:spacing w:after="0"/>
        <w:ind w:left="0"/>
        <w:jc w:val="both"/>
      </w:pPr>
      <w:r>
        <w:rPr>
          <w:rFonts w:ascii="Times New Roman"/>
          <w:b w:val="false"/>
          <w:i w:val="false"/>
          <w:color w:val="000000"/>
          <w:sz w:val="28"/>
        </w:rPr>
        <w:t>
      отчеты по результатам проверок, содержащие выводы об имеющихся недостатках и рекомендации по улучшению деятельности брокера и (или) дилера, Управляющего, - по мере подготовки отчетов;</w:t>
      </w:r>
    </w:p>
    <w:p>
      <w:pPr>
        <w:spacing w:after="0"/>
        <w:ind w:left="0"/>
        <w:jc w:val="both"/>
      </w:pPr>
      <w:r>
        <w:rPr>
          <w:rFonts w:ascii="Times New Roman"/>
          <w:b w:val="false"/>
          <w:i w:val="false"/>
          <w:color w:val="000000"/>
          <w:sz w:val="28"/>
        </w:rPr>
        <w:t>
      отчет о результатах осуществления контроля за выполнением рекомендаций службы внутреннего аудита по улучшению деятельности брокера и (или) дилера, Управляющего - на ежеквартальной основе;</w:t>
      </w:r>
    </w:p>
    <w:p>
      <w:pPr>
        <w:spacing w:after="0"/>
        <w:ind w:left="0"/>
        <w:jc w:val="both"/>
      </w:pPr>
      <w:r>
        <w:rPr>
          <w:rFonts w:ascii="Times New Roman"/>
          <w:b w:val="false"/>
          <w:i w:val="false"/>
          <w:color w:val="000000"/>
          <w:sz w:val="28"/>
        </w:rPr>
        <w:t>
      отчет о заключенных сделках инсайдеров брокера и (или) дилера, Управляющего, с указанием о наличии (отсутствии) конфликта интересов и принятых мерах, – по мере возникновения информации.</w:t>
      </w:r>
    </w:p>
    <w:p>
      <w:pPr>
        <w:spacing w:after="0"/>
        <w:ind w:left="0"/>
        <w:jc w:val="both"/>
      </w:pPr>
      <w:r>
        <w:rPr>
          <w:rFonts w:ascii="Times New Roman"/>
          <w:b w:val="false"/>
          <w:i w:val="false"/>
          <w:color w:val="000000"/>
          <w:sz w:val="28"/>
        </w:rPr>
        <w:t>
      Документация, указанная в части первой настоящего пункта, рассматривается на заседании органа управления (наблюдательного совета) брокера и (или) дилера, Управляющего или направляется его членам сопроводительным письмом, заверенным подписью первого руководителя брокера и (или) дилера, Управляющего или лицом, его замещающим.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постановления Правления Агентства РК по регулированию и развитию финансового рынка от 28.12.2023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88"/>
    <w:p>
      <w:pPr>
        <w:spacing w:after="0"/>
        <w:ind w:left="0"/>
        <w:jc w:val="both"/>
      </w:pPr>
      <w:r>
        <w:rPr>
          <w:rFonts w:ascii="Times New Roman"/>
          <w:b w:val="false"/>
          <w:i w:val="false"/>
          <w:color w:val="000000"/>
          <w:sz w:val="28"/>
        </w:rPr>
        <w:t xml:space="preserve">
      95. Орган управления Управляющего или брокера и (или) дилера, являющегося Управляющим, для осуществления своих функций в дополнение к документации, указанной в </w:t>
      </w:r>
      <w:r>
        <w:rPr>
          <w:rFonts w:ascii="Times New Roman"/>
          <w:b w:val="false"/>
          <w:i w:val="false"/>
          <w:color w:val="000000"/>
          <w:sz w:val="28"/>
        </w:rPr>
        <w:t>пункте 94</w:t>
      </w:r>
      <w:r>
        <w:rPr>
          <w:rFonts w:ascii="Times New Roman"/>
          <w:b w:val="false"/>
          <w:i w:val="false"/>
          <w:color w:val="000000"/>
          <w:sz w:val="28"/>
        </w:rPr>
        <w:t xml:space="preserve"> Правил, получает от ответственных подразделений следующую документацию:</w:t>
      </w:r>
    </w:p>
    <w:bookmarkEnd w:id="188"/>
    <w:p>
      <w:pPr>
        <w:spacing w:after="0"/>
        <w:ind w:left="0"/>
        <w:jc w:val="both"/>
      </w:pPr>
      <w:r>
        <w:rPr>
          <w:rFonts w:ascii="Times New Roman"/>
          <w:b w:val="false"/>
          <w:i w:val="false"/>
          <w:color w:val="000000"/>
          <w:sz w:val="28"/>
        </w:rPr>
        <w:t>
      1) результаты стресс-тестингов и бэк-тестингов – не реже одного раза в полгода;</w:t>
      </w:r>
    </w:p>
    <w:p>
      <w:pPr>
        <w:spacing w:after="0"/>
        <w:ind w:left="0"/>
        <w:jc w:val="both"/>
      </w:pPr>
      <w:r>
        <w:rPr>
          <w:rFonts w:ascii="Times New Roman"/>
          <w:b w:val="false"/>
          <w:i w:val="false"/>
          <w:color w:val="000000"/>
          <w:sz w:val="28"/>
        </w:rPr>
        <w:t>
      2) отчет о результатах инвестиционного управления активами клиентов, переданных в инвестиционное управление, и (или) собственными активами, - на ежеквартальной основе;</w:t>
      </w:r>
    </w:p>
    <w:p>
      <w:pPr>
        <w:spacing w:after="0"/>
        <w:ind w:left="0"/>
        <w:jc w:val="both"/>
      </w:pPr>
      <w:r>
        <w:rPr>
          <w:rFonts w:ascii="Times New Roman"/>
          <w:b w:val="false"/>
          <w:i w:val="false"/>
          <w:color w:val="000000"/>
          <w:sz w:val="28"/>
        </w:rPr>
        <w:t>
      3) отчет о принятых инвестиционных решениях - не реже, чем раз в полгода.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89"/>
    <w:p>
      <w:pPr>
        <w:spacing w:after="0"/>
        <w:ind w:left="0"/>
        <w:jc w:val="both"/>
      </w:pPr>
      <w:r>
        <w:rPr>
          <w:rFonts w:ascii="Times New Roman"/>
          <w:b w:val="false"/>
          <w:i w:val="false"/>
          <w:color w:val="000000"/>
          <w:sz w:val="28"/>
        </w:rPr>
        <w:t>
      96. Исполнительный орган брокера и (или) дилера, Управляющего для осуществления своих функций получает:</w:t>
      </w:r>
    </w:p>
    <w:bookmarkEnd w:id="189"/>
    <w:bookmarkStart w:name="z588" w:id="190"/>
    <w:p>
      <w:pPr>
        <w:spacing w:after="0"/>
        <w:ind w:left="0"/>
        <w:jc w:val="both"/>
      </w:pPr>
      <w:r>
        <w:rPr>
          <w:rFonts w:ascii="Times New Roman"/>
          <w:b w:val="false"/>
          <w:i w:val="false"/>
          <w:color w:val="000000"/>
          <w:sz w:val="28"/>
        </w:rPr>
        <w:t>
      1) от подразделения брокера и (или) дилера, Управляющего, осуществляющего анализ и планирование бюджета, - отчеты о текущих результатах финансово-хозяйственной деятельности брокера и (или) дилера, Управляющего в сравнении с тем же периодом за прошлый отчетный период и с запланированными показателями деятельности - на ежеквартальной основе;</w:t>
      </w:r>
    </w:p>
    <w:bookmarkEnd w:id="190"/>
    <w:bookmarkStart w:name="z589" w:id="191"/>
    <w:p>
      <w:pPr>
        <w:spacing w:after="0"/>
        <w:ind w:left="0"/>
        <w:jc w:val="both"/>
      </w:pPr>
      <w:r>
        <w:rPr>
          <w:rFonts w:ascii="Times New Roman"/>
          <w:b w:val="false"/>
          <w:i w:val="false"/>
          <w:color w:val="000000"/>
          <w:sz w:val="28"/>
        </w:rPr>
        <w:t>
      2) от подразделения брокера и (или) дилера, Управляющего, отслеживающего доходы (расходы) брокера и (или) дилера, Управляющего, - ежемесячные отчеты о доходах (расходах) брокера и (или) дилера, Управляющего с приложением плановых показателей финансовой деятельности, включая динамику по видам деятельности, территориальным и функциональным подразделениям, - на ежеквартальной основе;</w:t>
      </w:r>
    </w:p>
    <w:bookmarkEnd w:id="191"/>
    <w:bookmarkStart w:name="z590" w:id="192"/>
    <w:p>
      <w:pPr>
        <w:spacing w:after="0"/>
        <w:ind w:left="0"/>
        <w:jc w:val="both"/>
      </w:pPr>
      <w:r>
        <w:rPr>
          <w:rFonts w:ascii="Times New Roman"/>
          <w:b w:val="false"/>
          <w:i w:val="false"/>
          <w:color w:val="000000"/>
          <w:sz w:val="28"/>
        </w:rPr>
        <w:t>
      3) от службы внутреннего аудита - отчеты по результатам проверок, содержащие выводы об имеющихся недостатках и рекомендации по улучшению деятельности брокера и (или) дилера, Управляющего, - по мере подготовки отчетов;</w:t>
      </w:r>
    </w:p>
    <w:bookmarkEnd w:id="192"/>
    <w:bookmarkStart w:name="z591" w:id="193"/>
    <w:p>
      <w:pPr>
        <w:spacing w:after="0"/>
        <w:ind w:left="0"/>
        <w:jc w:val="both"/>
      </w:pPr>
      <w:r>
        <w:rPr>
          <w:rFonts w:ascii="Times New Roman"/>
          <w:b w:val="false"/>
          <w:i w:val="false"/>
          <w:color w:val="000000"/>
          <w:sz w:val="28"/>
        </w:rPr>
        <w:t>
      4) от подразделений, осуществляющих управление активами клиентов (инвестиционных фондов), принятых в инвестиционное управление, и (или) собственными активами и управление рисками, - отчет об обнаружении негативной информации о деятельности контрпартнеров и клиентов - по мере обнаружения негативной информации о деятельности контрпартнеров и клиентов;</w:t>
      </w:r>
    </w:p>
    <w:bookmarkEnd w:id="193"/>
    <w:bookmarkStart w:name="z592" w:id="194"/>
    <w:p>
      <w:pPr>
        <w:spacing w:after="0"/>
        <w:ind w:left="0"/>
        <w:jc w:val="both"/>
      </w:pPr>
      <w:r>
        <w:rPr>
          <w:rFonts w:ascii="Times New Roman"/>
          <w:b w:val="false"/>
          <w:i w:val="false"/>
          <w:color w:val="000000"/>
          <w:sz w:val="28"/>
        </w:rPr>
        <w:t>
      5) от подразделения информационного обеспечения брокера и (или) дилера, Управляющего раз в квартал информацию о:</w:t>
      </w:r>
    </w:p>
    <w:bookmarkEnd w:id="194"/>
    <w:bookmarkStart w:name="z593" w:id="195"/>
    <w:p>
      <w:pPr>
        <w:spacing w:after="0"/>
        <w:ind w:left="0"/>
        <w:jc w:val="both"/>
      </w:pPr>
      <w:r>
        <w:rPr>
          <w:rFonts w:ascii="Times New Roman"/>
          <w:b w:val="false"/>
          <w:i w:val="false"/>
          <w:color w:val="000000"/>
          <w:sz w:val="28"/>
        </w:rPr>
        <w:t>
      состоянии аппаратно-программных технических комплексов;</w:t>
      </w:r>
    </w:p>
    <w:bookmarkEnd w:id="195"/>
    <w:bookmarkStart w:name="z594" w:id="196"/>
    <w:p>
      <w:pPr>
        <w:spacing w:after="0"/>
        <w:ind w:left="0"/>
        <w:jc w:val="both"/>
      </w:pPr>
      <w:r>
        <w:rPr>
          <w:rFonts w:ascii="Times New Roman"/>
          <w:b w:val="false"/>
          <w:i w:val="false"/>
          <w:color w:val="000000"/>
          <w:sz w:val="28"/>
        </w:rPr>
        <w:t>
      технических проблемах, обнаруженных в течение отчетного периода;</w:t>
      </w:r>
    </w:p>
    <w:bookmarkEnd w:id="196"/>
    <w:bookmarkStart w:name="z595" w:id="197"/>
    <w:p>
      <w:pPr>
        <w:spacing w:after="0"/>
        <w:ind w:left="0"/>
        <w:jc w:val="both"/>
      </w:pPr>
      <w:r>
        <w:rPr>
          <w:rFonts w:ascii="Times New Roman"/>
          <w:b w:val="false"/>
          <w:i w:val="false"/>
          <w:color w:val="000000"/>
          <w:sz w:val="28"/>
        </w:rPr>
        <w:t>
      выявленных несоответствиях внутренним процедурам брокера и (или) дилера, Управляющего;</w:t>
      </w:r>
    </w:p>
    <w:bookmarkEnd w:id="197"/>
    <w:bookmarkStart w:name="z596" w:id="198"/>
    <w:p>
      <w:pPr>
        <w:spacing w:after="0"/>
        <w:ind w:left="0"/>
        <w:jc w:val="both"/>
      </w:pPr>
      <w:r>
        <w:rPr>
          <w:rFonts w:ascii="Times New Roman"/>
          <w:b w:val="false"/>
          <w:i w:val="false"/>
          <w:color w:val="000000"/>
          <w:sz w:val="28"/>
        </w:rPr>
        <w:t>
      мерах, принятых для устранения и предотвращения повторного возникновения проблем и несоответствий.</w:t>
      </w:r>
    </w:p>
    <w:bookmarkEnd w:id="198"/>
    <w:bookmarkStart w:name="z597" w:id="199"/>
    <w:p>
      <w:pPr>
        <w:spacing w:after="0"/>
        <w:ind w:left="0"/>
        <w:jc w:val="both"/>
      </w:pPr>
      <w:r>
        <w:rPr>
          <w:rFonts w:ascii="Times New Roman"/>
          <w:b w:val="false"/>
          <w:i w:val="false"/>
          <w:color w:val="000000"/>
          <w:sz w:val="28"/>
        </w:rPr>
        <w:t>
      Информация, указанная в настоящем подпункте, не предоставляется при использовании информационных ресурсов Национального Банка Республики Казахстан на основании соответствующего соглашения, заключенного между Управляющим и Национальным Банком;</w:t>
      </w:r>
    </w:p>
    <w:bookmarkEnd w:id="199"/>
    <w:bookmarkStart w:name="z598" w:id="200"/>
    <w:p>
      <w:pPr>
        <w:spacing w:after="0"/>
        <w:ind w:left="0"/>
        <w:jc w:val="both"/>
      </w:pPr>
      <w:r>
        <w:rPr>
          <w:rFonts w:ascii="Times New Roman"/>
          <w:b w:val="false"/>
          <w:i w:val="false"/>
          <w:color w:val="000000"/>
          <w:sz w:val="28"/>
        </w:rPr>
        <w:t>
      6) от всех подразделений брокера и (или) дилера, Управляющего:</w:t>
      </w:r>
    </w:p>
    <w:bookmarkEnd w:id="200"/>
    <w:bookmarkStart w:name="z599" w:id="201"/>
    <w:p>
      <w:pPr>
        <w:spacing w:after="0"/>
        <w:ind w:left="0"/>
        <w:jc w:val="both"/>
      </w:pPr>
      <w:r>
        <w:rPr>
          <w:rFonts w:ascii="Times New Roman"/>
          <w:b w:val="false"/>
          <w:i w:val="false"/>
          <w:color w:val="000000"/>
          <w:sz w:val="28"/>
        </w:rPr>
        <w:t>
      информацию о нарушении подразделениями либо работниками установленных требований законодательства Республики Казахстан о рынке ценных бумаг, инвестиционных фондах и акционерных обществах, а также трудового законодательства Республики Казахстан и внутренних документов брокера и (или) дилера, Управляющего - по мере возникновения информации;</w:t>
      </w:r>
    </w:p>
    <w:bookmarkEnd w:id="201"/>
    <w:bookmarkStart w:name="z600" w:id="202"/>
    <w:p>
      <w:pPr>
        <w:spacing w:after="0"/>
        <w:ind w:left="0"/>
        <w:jc w:val="both"/>
      </w:pPr>
      <w:r>
        <w:rPr>
          <w:rFonts w:ascii="Times New Roman"/>
          <w:b w:val="false"/>
          <w:i w:val="false"/>
          <w:color w:val="000000"/>
          <w:sz w:val="28"/>
        </w:rPr>
        <w:t>
      отчеты о самостоятельном выявлении нарушений и принятых мерах по устранению выявленных нарушений - по мере возникновения информации;</w:t>
      </w:r>
    </w:p>
    <w:bookmarkEnd w:id="202"/>
    <w:bookmarkStart w:name="z601" w:id="203"/>
    <w:p>
      <w:pPr>
        <w:spacing w:after="0"/>
        <w:ind w:left="0"/>
        <w:jc w:val="both"/>
      </w:pPr>
      <w:r>
        <w:rPr>
          <w:rFonts w:ascii="Times New Roman"/>
          <w:b w:val="false"/>
          <w:i w:val="false"/>
          <w:color w:val="000000"/>
          <w:sz w:val="28"/>
        </w:rPr>
        <w:t>
      7) от подразделения брокера и (или) дилера, Управляющего, осуществляющего управление рисками, - информацию о заключенных сделках инсайдеров брокера и (или) дилера, Управляющего, с указанием о наличии (отсутствии) конфликта интересов и принятых мерах, – по мере возникновения информации.</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постановления Правления Агентства РК по регулированию и развитию финансового рынка от 28.12.2023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204"/>
    <w:p>
      <w:pPr>
        <w:spacing w:after="0"/>
        <w:ind w:left="0"/>
        <w:jc w:val="both"/>
      </w:pPr>
      <w:r>
        <w:rPr>
          <w:rFonts w:ascii="Times New Roman"/>
          <w:b w:val="false"/>
          <w:i w:val="false"/>
          <w:color w:val="000000"/>
          <w:sz w:val="28"/>
        </w:rPr>
        <w:t xml:space="preserve">
       97. Исполнительный орган Управляющего или брокера и (или) дилера, являющегося Управляющим, для осуществления своих функций в дополнение к информации, перечисленной в </w:t>
      </w:r>
      <w:r>
        <w:rPr>
          <w:rFonts w:ascii="Times New Roman"/>
          <w:b w:val="false"/>
          <w:i w:val="false"/>
          <w:color w:val="000000"/>
          <w:sz w:val="28"/>
        </w:rPr>
        <w:t>пункте 96</w:t>
      </w:r>
      <w:r>
        <w:rPr>
          <w:rFonts w:ascii="Times New Roman"/>
          <w:b w:val="false"/>
          <w:i w:val="false"/>
          <w:color w:val="000000"/>
          <w:sz w:val="28"/>
        </w:rPr>
        <w:t xml:space="preserve"> Правил, получает:</w:t>
      </w:r>
    </w:p>
    <w:bookmarkEnd w:id="204"/>
    <w:bookmarkStart w:name="z511" w:id="205"/>
    <w:p>
      <w:pPr>
        <w:spacing w:after="0"/>
        <w:ind w:left="0"/>
        <w:jc w:val="both"/>
      </w:pPr>
      <w:r>
        <w:rPr>
          <w:rFonts w:ascii="Times New Roman"/>
          <w:b w:val="false"/>
          <w:i w:val="false"/>
          <w:color w:val="000000"/>
          <w:sz w:val="28"/>
        </w:rPr>
        <w:t>
      1) от подразделения Управляющего или брокера и (или) дилера, являющегося Управляющим, осуществляющего сбор, обработку и анализ информации, необходимой для принятия инвестиционного решения, - отчет о результатах инвестиционного управления активами клиентов, переданных в инвестиционное управление, и (или) собственными активами, - на ежеквартальной основе;</w:t>
      </w:r>
    </w:p>
    <w:bookmarkEnd w:id="205"/>
    <w:bookmarkStart w:name="z512" w:id="206"/>
    <w:p>
      <w:pPr>
        <w:spacing w:after="0"/>
        <w:ind w:left="0"/>
        <w:jc w:val="both"/>
      </w:pPr>
      <w:r>
        <w:rPr>
          <w:rFonts w:ascii="Times New Roman"/>
          <w:b w:val="false"/>
          <w:i w:val="false"/>
          <w:color w:val="000000"/>
          <w:sz w:val="28"/>
        </w:rPr>
        <w:t>
      2) от подразделения Управляющего или брокера и (или) дилера, являющегося Управляющим, осуществляющего управление рисками, - информацию о соблюдении (использовании) установленных лимитов инвестирования - на ежеквартальной основе;</w:t>
      </w:r>
    </w:p>
    <w:bookmarkEnd w:id="206"/>
    <w:bookmarkStart w:name="z513" w:id="207"/>
    <w:p>
      <w:pPr>
        <w:spacing w:after="0"/>
        <w:ind w:left="0"/>
        <w:jc w:val="both"/>
      </w:pPr>
      <w:r>
        <w:rPr>
          <w:rFonts w:ascii="Times New Roman"/>
          <w:b w:val="false"/>
          <w:i w:val="false"/>
          <w:color w:val="000000"/>
          <w:sz w:val="28"/>
        </w:rPr>
        <w:t>
      3) от подразделений Управляющего или брокера и (или) дилера, являющегося Управляющим, осуществляющих управление активами клиентов (инвестиционных фондов), принятыми в инвестиционное управление, и (или) собственными активами и управление рисками - информацию о нарушении подразделениями либо работниками установленных лимитов инвестирования - по мере возникновения информации;</w:t>
      </w:r>
    </w:p>
    <w:bookmarkEnd w:id="207"/>
    <w:bookmarkStart w:name="z514" w:id="208"/>
    <w:p>
      <w:pPr>
        <w:spacing w:after="0"/>
        <w:ind w:left="0"/>
        <w:jc w:val="both"/>
      </w:pPr>
      <w:r>
        <w:rPr>
          <w:rFonts w:ascii="Times New Roman"/>
          <w:b w:val="false"/>
          <w:i w:val="false"/>
          <w:color w:val="000000"/>
          <w:sz w:val="28"/>
        </w:rPr>
        <w:t>
      4) от подразделения, осуществляющего инвестиционное управление активами клиентов (инвестиционных фондов), принятых в инвестиционное управление и (или) собственными активами Управляющего или брокера и (или) дилера, являющегося Управляющим, - отчет о принятых инвестиционных решениях - не реже, чем раз в полгода.</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постановления Правления Агентства РК по регулированию и развитию финансового рынка от 15.02.2021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209"/>
    <w:p>
      <w:pPr>
        <w:spacing w:after="0"/>
        <w:ind w:left="0"/>
        <w:jc w:val="both"/>
      </w:pPr>
      <w:r>
        <w:rPr>
          <w:rFonts w:ascii="Times New Roman"/>
          <w:b w:val="false"/>
          <w:i w:val="false"/>
          <w:color w:val="000000"/>
          <w:sz w:val="28"/>
        </w:rPr>
        <w:t>
      98. Инвестиционный комитет Управляющего или брокера и (или) дилера, являющегося Управляющим, для осуществления своих функций получает от ответственных подразделений следующую информацию:</w:t>
      </w:r>
    </w:p>
    <w:bookmarkEnd w:id="209"/>
    <w:p>
      <w:pPr>
        <w:spacing w:after="0"/>
        <w:ind w:left="0"/>
        <w:jc w:val="both"/>
      </w:pPr>
      <w:r>
        <w:rPr>
          <w:rFonts w:ascii="Times New Roman"/>
          <w:b w:val="false"/>
          <w:i w:val="false"/>
          <w:color w:val="000000"/>
          <w:sz w:val="28"/>
        </w:rPr>
        <w:t>
      макроэкономический анализ по степени привлекательности рынков инвестирования в зависимости от складывающейся геополитической ситуации, валюты инвестирования и сектора экономики - не реже одного раза в полугодие;</w:t>
      </w:r>
    </w:p>
    <w:p>
      <w:pPr>
        <w:spacing w:after="0"/>
        <w:ind w:left="0"/>
        <w:jc w:val="both"/>
      </w:pPr>
      <w:r>
        <w:rPr>
          <w:rFonts w:ascii="Times New Roman"/>
          <w:b w:val="false"/>
          <w:i w:val="false"/>
          <w:color w:val="000000"/>
          <w:sz w:val="28"/>
        </w:rPr>
        <w:t>
      анализ эмитентов и выпущенных (предоставленных) ими финансовых инструментов, включая анализ финансового состояния эмитентов, отчеты о появлении информации, которая оказывает влияние на стоимость финансовых инструментов эмитента или способность исполнять им свои обязательства, а также рисках, связанных с инвестированием в финансовые инструменты данных эмитентов, - не реже одного раза в квартал;</w:t>
      </w:r>
    </w:p>
    <w:p>
      <w:pPr>
        <w:spacing w:after="0"/>
        <w:ind w:left="0"/>
        <w:jc w:val="both"/>
      </w:pPr>
      <w:r>
        <w:rPr>
          <w:rFonts w:ascii="Times New Roman"/>
          <w:b w:val="false"/>
          <w:i w:val="false"/>
          <w:color w:val="000000"/>
          <w:sz w:val="28"/>
        </w:rPr>
        <w:t>
      анализ инвестиционного портфеля, включающий сведения о структуре портфеля, динамике изменения доходности, анализ убыточных позиций и предложения по оптимизации структуры портфеля - не реже одного раза в квартал;</w:t>
      </w:r>
    </w:p>
    <w:p>
      <w:pPr>
        <w:spacing w:after="0"/>
        <w:ind w:left="0"/>
        <w:jc w:val="both"/>
      </w:pPr>
      <w:r>
        <w:rPr>
          <w:rFonts w:ascii="Times New Roman"/>
          <w:b w:val="false"/>
          <w:i w:val="false"/>
          <w:color w:val="000000"/>
          <w:sz w:val="28"/>
        </w:rPr>
        <w:t>
      анализ, содержащий прогноз размера активов, предполагаемых к принятию в инвестиционное управление, а также структуры обязательств инвестиционного (инвестиционных) портфеля (портфелей), принятого (принятых) в управление, по срокам их исполнения (на основе анализа структуры клиентов, в том числе пайщиков, акционеров инвестиционного фонда, включающего информацию о сумме денег и (или) активов, переданных в инвестиционное управление), - не реже одного раза в квартал;</w:t>
      </w:r>
    </w:p>
    <w:p>
      <w:pPr>
        <w:spacing w:after="0"/>
        <w:ind w:left="0"/>
        <w:jc w:val="both"/>
      </w:pPr>
      <w:r>
        <w:rPr>
          <w:rFonts w:ascii="Times New Roman"/>
          <w:b w:val="false"/>
          <w:i w:val="false"/>
          <w:color w:val="000000"/>
          <w:sz w:val="28"/>
        </w:rPr>
        <w:t>
      информацию по управлению денежными потоками (ликвидностью), включающую обзор соблюдения лимитов гэп-позиций, с учетом изменения способности мобилизовать ликвидные активы, необходимые для погашения обязательств в течение установленных сроков, в том числе мониторинг способности сформировать ликвидные активы в иностранной валюте, необходимые для погашения обязательств в иностранной валюте - на ежедневной основе;</w:t>
      </w:r>
    </w:p>
    <w:p>
      <w:pPr>
        <w:spacing w:after="0"/>
        <w:ind w:left="0"/>
        <w:jc w:val="both"/>
      </w:pPr>
      <w:r>
        <w:rPr>
          <w:rFonts w:ascii="Times New Roman"/>
          <w:b w:val="false"/>
          <w:i w:val="false"/>
          <w:color w:val="000000"/>
          <w:sz w:val="28"/>
        </w:rPr>
        <w:t>
      рекомендации и заключения по установлению (пересмотру) следующих лимитов по операциям с финансовыми инструментами:</w:t>
      </w:r>
    </w:p>
    <w:p>
      <w:pPr>
        <w:spacing w:after="0"/>
        <w:ind w:left="0"/>
        <w:jc w:val="both"/>
      </w:pPr>
      <w:r>
        <w:rPr>
          <w:rFonts w:ascii="Times New Roman"/>
          <w:b w:val="false"/>
          <w:i w:val="false"/>
          <w:color w:val="000000"/>
          <w:sz w:val="28"/>
        </w:rPr>
        <w:t>
      лимиты по размеру инвестирования в финансовые инструменты одного эмитента, а также по видам финансовых инструментов данного эмитента с указанием рисков, связанных с инвестированием в финансовые инструменты данного эмитента, и влияния данных рисков на значения пруденциальных нормативов, установленных нормативными правовыми актами уполномоченного органа, в пределах лимитов на совершение операций с финансовыми инструментами, утвержденных инвестиционным комитетом, а также лимитов, установленных нормативными правовыми актами уполномоченного органа, - не реже одного раза в квартал;</w:t>
      </w:r>
    </w:p>
    <w:p>
      <w:pPr>
        <w:spacing w:after="0"/>
        <w:ind w:left="0"/>
        <w:jc w:val="both"/>
      </w:pPr>
      <w:r>
        <w:rPr>
          <w:rFonts w:ascii="Times New Roman"/>
          <w:b w:val="false"/>
          <w:i w:val="false"/>
          <w:color w:val="000000"/>
          <w:sz w:val="28"/>
        </w:rPr>
        <w:t>
      лимиты "stop - loss" и "take - profit" - не реже одного раза в квартал;</w:t>
      </w:r>
    </w:p>
    <w:p>
      <w:pPr>
        <w:spacing w:after="0"/>
        <w:ind w:left="0"/>
        <w:jc w:val="both"/>
      </w:pPr>
      <w:r>
        <w:rPr>
          <w:rFonts w:ascii="Times New Roman"/>
          <w:b w:val="false"/>
          <w:i w:val="false"/>
          <w:color w:val="000000"/>
          <w:sz w:val="28"/>
        </w:rPr>
        <w:t>
      лимиты гэп-позиции на основании анализа, проводимого подразделением, осуществляющим управление рисками, - не реже одного раза в квартал;</w:t>
      </w:r>
    </w:p>
    <w:p>
      <w:pPr>
        <w:spacing w:after="0"/>
        <w:ind w:left="0"/>
        <w:jc w:val="both"/>
      </w:pPr>
      <w:r>
        <w:rPr>
          <w:rFonts w:ascii="Times New Roman"/>
          <w:b w:val="false"/>
          <w:i w:val="false"/>
          <w:color w:val="000000"/>
          <w:sz w:val="28"/>
        </w:rPr>
        <w:t>
      заключение о подверженности кредитному, процентному, валютному, фондовому рискам, по риску потери ликвидности инвестиционного портфеля по активам клиентов (инвестиционных фондов), принятых в инвестиционное управление и (или) собственным активам, - на ежемесячной основе;</w:t>
      </w:r>
    </w:p>
    <w:p>
      <w:pPr>
        <w:spacing w:after="0"/>
        <w:ind w:left="0"/>
        <w:jc w:val="both"/>
      </w:pPr>
      <w:r>
        <w:rPr>
          <w:rFonts w:ascii="Times New Roman"/>
          <w:b w:val="false"/>
          <w:i w:val="false"/>
          <w:color w:val="000000"/>
          <w:sz w:val="28"/>
        </w:rPr>
        <w:t>
      результаты стресс-тестинга по рискам, которым подвержена деятельность брокера и (или) дилера или Управляющего, являющегося брокером и (или) дилером, по собственным активам Управляющего и брокера и (или) дилера, являющегося Управляющим, по активам клиентов, принятым в инвестиционное управление, - не реже одного раза в полгода;</w:t>
      </w:r>
    </w:p>
    <w:p>
      <w:pPr>
        <w:spacing w:after="0"/>
        <w:ind w:left="0"/>
        <w:jc w:val="both"/>
      </w:pPr>
      <w:r>
        <w:rPr>
          <w:rFonts w:ascii="Times New Roman"/>
          <w:b w:val="false"/>
          <w:i w:val="false"/>
          <w:color w:val="000000"/>
          <w:sz w:val="28"/>
        </w:rPr>
        <w:t>
      результаты бэк-тестингов - не реже одного раза в полгода;</w:t>
      </w:r>
    </w:p>
    <w:p>
      <w:pPr>
        <w:spacing w:after="0"/>
        <w:ind w:left="0"/>
        <w:jc w:val="both"/>
      </w:pPr>
      <w:r>
        <w:rPr>
          <w:rFonts w:ascii="Times New Roman"/>
          <w:b w:val="false"/>
          <w:i w:val="false"/>
          <w:color w:val="000000"/>
          <w:sz w:val="28"/>
        </w:rPr>
        <w:t>
      отчет об обнаружении негативной информации о деятельности контрпартнеров и клиентов - по мере обнаружения негативной информации о деятельности контрпартнеров и клиентов;</w:t>
      </w:r>
    </w:p>
    <w:p>
      <w:pPr>
        <w:spacing w:after="0"/>
        <w:ind w:left="0"/>
        <w:jc w:val="both"/>
      </w:pPr>
      <w:r>
        <w:rPr>
          <w:rFonts w:ascii="Times New Roman"/>
          <w:b w:val="false"/>
          <w:i w:val="false"/>
          <w:color w:val="000000"/>
          <w:sz w:val="28"/>
        </w:rPr>
        <w:t>
      информацию об исполнении инвестиционных решений на еженедельной основе.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210"/>
    <w:p>
      <w:pPr>
        <w:spacing w:after="0"/>
        <w:ind w:left="0"/>
        <w:jc w:val="both"/>
      </w:pPr>
      <w:r>
        <w:rPr>
          <w:rFonts w:ascii="Times New Roman"/>
          <w:b w:val="false"/>
          <w:i w:val="false"/>
          <w:color w:val="000000"/>
          <w:sz w:val="28"/>
        </w:rPr>
        <w:t>
      99. Служба внутреннего аудита получает от всех подразделений, филиалов, представительств, инвестиционного комитета (для Управляющих) и работников брокера и (или) дилера, Управляющего любые документы и информацию, необходимую для осуществления своих функций, в сроки, указанные в запросах службы внутреннего аудита.</w:t>
      </w:r>
    </w:p>
    <w:bookmarkEnd w:id="210"/>
    <w:bookmarkStart w:name="z149" w:id="211"/>
    <w:p>
      <w:pPr>
        <w:spacing w:after="0"/>
        <w:ind w:left="0"/>
        <w:jc w:val="both"/>
      </w:pPr>
      <w:r>
        <w:rPr>
          <w:rFonts w:ascii="Times New Roman"/>
          <w:b w:val="false"/>
          <w:i w:val="false"/>
          <w:color w:val="000000"/>
          <w:sz w:val="28"/>
        </w:rPr>
        <w:t>
      100. Подразделение брокера и (или) дилера, Управляющего, осуществляющее управление рисками, для осуществления своих функций получает от всех подразделений и работников брокера и (или) дилера, Управляющего документы и информацию, необходимую для осуществления своих функций, в сроки, указанные в запросах подразделения, осуществляющего управление рисками, а также получает на постоянной основе:</w:t>
      </w:r>
    </w:p>
    <w:bookmarkEnd w:id="211"/>
    <w:bookmarkStart w:name="z603" w:id="212"/>
    <w:p>
      <w:pPr>
        <w:spacing w:after="0"/>
        <w:ind w:left="0"/>
        <w:jc w:val="both"/>
      </w:pPr>
      <w:r>
        <w:rPr>
          <w:rFonts w:ascii="Times New Roman"/>
          <w:b w:val="false"/>
          <w:i w:val="false"/>
          <w:color w:val="000000"/>
          <w:sz w:val="28"/>
        </w:rPr>
        <w:t>
      1) информацию о соблюдении (использовании) установленных лимитов инвестирования - на ежедневной основе;</w:t>
      </w:r>
    </w:p>
    <w:bookmarkEnd w:id="212"/>
    <w:bookmarkStart w:name="z604" w:id="213"/>
    <w:p>
      <w:pPr>
        <w:spacing w:after="0"/>
        <w:ind w:left="0"/>
        <w:jc w:val="both"/>
      </w:pPr>
      <w:r>
        <w:rPr>
          <w:rFonts w:ascii="Times New Roman"/>
          <w:b w:val="false"/>
          <w:i w:val="false"/>
          <w:color w:val="000000"/>
          <w:sz w:val="28"/>
        </w:rPr>
        <w:t>
      2) информацию о соблюдении (использовании) установленных лимитов "stop – loss" и "take – profit" - на еженедельной основе;</w:t>
      </w:r>
    </w:p>
    <w:bookmarkEnd w:id="213"/>
    <w:bookmarkStart w:name="z605" w:id="214"/>
    <w:p>
      <w:pPr>
        <w:spacing w:after="0"/>
        <w:ind w:left="0"/>
        <w:jc w:val="both"/>
      </w:pPr>
      <w:r>
        <w:rPr>
          <w:rFonts w:ascii="Times New Roman"/>
          <w:b w:val="false"/>
          <w:i w:val="false"/>
          <w:color w:val="000000"/>
          <w:sz w:val="28"/>
        </w:rPr>
        <w:t>
      3) отчет о результатах инвестиционного управления активами клиентов, переданных в инвестиционное управление, и (или) собственными активами, - не реже одного раза в квартал;</w:t>
      </w:r>
    </w:p>
    <w:bookmarkEnd w:id="214"/>
    <w:bookmarkStart w:name="z606" w:id="215"/>
    <w:p>
      <w:pPr>
        <w:spacing w:after="0"/>
        <w:ind w:left="0"/>
        <w:jc w:val="both"/>
      </w:pPr>
      <w:r>
        <w:rPr>
          <w:rFonts w:ascii="Times New Roman"/>
          <w:b w:val="false"/>
          <w:i w:val="false"/>
          <w:color w:val="000000"/>
          <w:sz w:val="28"/>
        </w:rPr>
        <w:t>
      4) сведения, необходимые для подготовки заключения о подверженности кредитному, процентному, валютному и фондовому рискам инвестиционного портфеля по активам клиентов (инвестиционных фондов), принятым в инвестиционное управление, и (или) собственным активам;</w:t>
      </w:r>
    </w:p>
    <w:bookmarkEnd w:id="215"/>
    <w:bookmarkStart w:name="z607" w:id="216"/>
    <w:p>
      <w:pPr>
        <w:spacing w:after="0"/>
        <w:ind w:left="0"/>
        <w:jc w:val="both"/>
      </w:pPr>
      <w:r>
        <w:rPr>
          <w:rFonts w:ascii="Times New Roman"/>
          <w:b w:val="false"/>
          <w:i w:val="false"/>
          <w:color w:val="000000"/>
          <w:sz w:val="28"/>
        </w:rPr>
        <w:t>
      5) ежеквартальную финансовую отчетность, в объеме определенном внутренними документами брокера и (или) дилера, Управляющего;</w:t>
      </w:r>
    </w:p>
    <w:bookmarkEnd w:id="216"/>
    <w:bookmarkStart w:name="z608" w:id="217"/>
    <w:p>
      <w:pPr>
        <w:spacing w:after="0"/>
        <w:ind w:left="0"/>
        <w:jc w:val="both"/>
      </w:pPr>
      <w:r>
        <w:rPr>
          <w:rFonts w:ascii="Times New Roman"/>
          <w:b w:val="false"/>
          <w:i w:val="false"/>
          <w:color w:val="000000"/>
          <w:sz w:val="28"/>
        </w:rPr>
        <w:t>
      6) информацию о структуре портфеля - на ежедневной основе;</w:t>
      </w:r>
    </w:p>
    <w:bookmarkEnd w:id="217"/>
    <w:bookmarkStart w:name="z609" w:id="218"/>
    <w:p>
      <w:pPr>
        <w:spacing w:after="0"/>
        <w:ind w:left="0"/>
        <w:jc w:val="both"/>
      </w:pPr>
      <w:r>
        <w:rPr>
          <w:rFonts w:ascii="Times New Roman"/>
          <w:b w:val="false"/>
          <w:i w:val="false"/>
          <w:color w:val="000000"/>
          <w:sz w:val="28"/>
        </w:rPr>
        <w:t>
      7) ежемесячный расчет доходов и убытков, полученных в результате инвестиционной деятельности за счет активов клиентов, переданных в инвестиционное управление, и (или) собственных активов;</w:t>
      </w:r>
    </w:p>
    <w:bookmarkEnd w:id="218"/>
    <w:bookmarkStart w:name="z610" w:id="219"/>
    <w:p>
      <w:pPr>
        <w:spacing w:after="0"/>
        <w:ind w:left="0"/>
        <w:jc w:val="both"/>
      </w:pPr>
      <w:r>
        <w:rPr>
          <w:rFonts w:ascii="Times New Roman"/>
          <w:b w:val="false"/>
          <w:i w:val="false"/>
          <w:color w:val="000000"/>
          <w:sz w:val="28"/>
        </w:rPr>
        <w:t>
      8) информацию о заключенных сделках инсайдеров брокера и (или) дилера, Управляющего – на ежемесячной основе.</w:t>
      </w:r>
    </w:p>
    <w:bookmarkEnd w:id="219"/>
    <w:bookmarkStart w:name="z611" w:id="220"/>
    <w:p>
      <w:pPr>
        <w:spacing w:after="0"/>
        <w:ind w:left="0"/>
        <w:jc w:val="both"/>
      </w:pPr>
      <w:r>
        <w:rPr>
          <w:rFonts w:ascii="Times New Roman"/>
          <w:b w:val="false"/>
          <w:i w:val="false"/>
          <w:color w:val="000000"/>
          <w:sz w:val="28"/>
        </w:rPr>
        <w:t>
      Информация, указанная в подпункте 1) части первой настоящего пункта, помимо сведений об установленных лимитах инвестирования содержит сведения о фактическом размере инвестиций, совершенных в отчетном периоде, и представляется отдельно по активам каждого клиента, принятым в инвестиционное управление, и собственным активам.</w:t>
      </w:r>
    </w:p>
    <w:bookmarkEnd w:id="220"/>
    <w:bookmarkStart w:name="z612" w:id="221"/>
    <w:p>
      <w:pPr>
        <w:spacing w:after="0"/>
        <w:ind w:left="0"/>
        <w:jc w:val="both"/>
      </w:pPr>
      <w:r>
        <w:rPr>
          <w:rFonts w:ascii="Times New Roman"/>
          <w:b w:val="false"/>
          <w:i w:val="false"/>
          <w:color w:val="000000"/>
          <w:sz w:val="28"/>
        </w:rPr>
        <w:t>
      Информация, указанная в подпункте 2) части первой настоящего пункта, помимо сведений об установленных лимитах "stop – loss" и "take – profit" содержит сведения о понесенных убытках (с учетом полученных доходов) и предпринятых мерах в случае превышения лимита в отчетном периоде, и представляется отдельно по активам каждого клиента, принятым в инвестиционное управление, и собственным активам.</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постановления Правления Агентства РК по регулированию и развитию финансового рынка от 28.12.2023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222"/>
    <w:p>
      <w:pPr>
        <w:spacing w:after="0"/>
        <w:ind w:left="0"/>
        <w:jc w:val="both"/>
      </w:pPr>
      <w:r>
        <w:rPr>
          <w:rFonts w:ascii="Times New Roman"/>
          <w:b w:val="false"/>
          <w:i w:val="false"/>
          <w:color w:val="000000"/>
          <w:sz w:val="28"/>
        </w:rPr>
        <w:t>
      101. Информационный обмен между подразделениями брокера и (или) дилера, Управляющего осуществляется в соответствии с внутренними документами брокера и (или) дилера, Управляющего.</w:t>
      </w:r>
    </w:p>
    <w:bookmarkEnd w:id="222"/>
    <w:bookmarkStart w:name="z151" w:id="223"/>
    <w:p>
      <w:pPr>
        <w:spacing w:after="0"/>
        <w:ind w:left="0"/>
        <w:jc w:val="both"/>
      </w:pPr>
      <w:r>
        <w:rPr>
          <w:rFonts w:ascii="Times New Roman"/>
          <w:b w:val="false"/>
          <w:i w:val="false"/>
          <w:color w:val="000000"/>
          <w:sz w:val="28"/>
        </w:rPr>
        <w:t>
      102. Информационный обмен между Управляющим и организацией, осуществляющей брокерскую деятельность на рынке ценных бумаг, осуществляется в соответствии с договором об оказании брокерских услуг.</w:t>
      </w:r>
    </w:p>
    <w:bookmarkEnd w:id="223"/>
    <w:bookmarkStart w:name="z152" w:id="224"/>
    <w:p>
      <w:pPr>
        <w:spacing w:after="0"/>
        <w:ind w:left="0"/>
        <w:jc w:val="left"/>
      </w:pPr>
      <w:r>
        <w:rPr>
          <w:rFonts w:ascii="Times New Roman"/>
          <w:b/>
          <w:i w:val="false"/>
          <w:color w:val="000000"/>
        </w:rPr>
        <w:t xml:space="preserve"> Глава 10. Требования к программно-техническому обеспечению, используемому для поддержания системы управления рисками</w:t>
      </w:r>
    </w:p>
    <w:bookmarkEnd w:id="224"/>
    <w:p>
      <w:pPr>
        <w:spacing w:after="0"/>
        <w:ind w:left="0"/>
        <w:jc w:val="both"/>
      </w:pPr>
      <w:r>
        <w:rPr>
          <w:rFonts w:ascii="Times New Roman"/>
          <w:b w:val="false"/>
          <w:i w:val="false"/>
          <w:color w:val="ff0000"/>
          <w:sz w:val="28"/>
        </w:rPr>
        <w:t xml:space="preserve">
      Сноска. Заголовок главы 10 -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3" w:id="225"/>
    <w:p>
      <w:pPr>
        <w:spacing w:after="0"/>
        <w:ind w:left="0"/>
        <w:jc w:val="both"/>
      </w:pPr>
      <w:r>
        <w:rPr>
          <w:rFonts w:ascii="Times New Roman"/>
          <w:b w:val="false"/>
          <w:i w:val="false"/>
          <w:color w:val="000000"/>
          <w:sz w:val="28"/>
        </w:rPr>
        <w:t>
      103. Автоматизации подлежат следующие виды деятельности брокера и (или) дилера, Управляющего:</w:t>
      </w:r>
    </w:p>
    <w:bookmarkEnd w:id="225"/>
    <w:p>
      <w:pPr>
        <w:spacing w:after="0"/>
        <w:ind w:left="0"/>
        <w:jc w:val="both"/>
      </w:pPr>
      <w:r>
        <w:rPr>
          <w:rFonts w:ascii="Times New Roman"/>
          <w:b w:val="false"/>
          <w:i w:val="false"/>
          <w:color w:val="000000"/>
          <w:sz w:val="28"/>
        </w:rPr>
        <w:t>
      1) управление инвестиционным портфелем (проведение операций с финансовыми инструментами, осуществление расчетов по проведенным операциям, контроль за лимитами инвестирования, ведение журналов учета);</w:t>
      </w:r>
    </w:p>
    <w:p>
      <w:pPr>
        <w:spacing w:after="0"/>
        <w:ind w:left="0"/>
        <w:jc w:val="both"/>
      </w:pPr>
      <w:r>
        <w:rPr>
          <w:rFonts w:ascii="Times New Roman"/>
          <w:b w:val="false"/>
          <w:i w:val="false"/>
          <w:color w:val="000000"/>
          <w:sz w:val="28"/>
        </w:rPr>
        <w:t>
      2) сбор информации, необходимой для функционирования системы управления рисками;</w:t>
      </w:r>
    </w:p>
    <w:p>
      <w:pPr>
        <w:spacing w:after="0"/>
        <w:ind w:left="0"/>
        <w:jc w:val="both"/>
      </w:pPr>
      <w:r>
        <w:rPr>
          <w:rFonts w:ascii="Times New Roman"/>
          <w:b w:val="false"/>
          <w:i w:val="false"/>
          <w:color w:val="000000"/>
          <w:sz w:val="28"/>
        </w:rPr>
        <w:t>
      3) управление рисками, которым подвержен инвестиционный портфель, с обеспечением возможности отслеживать риски в режиме реального времени.</w:t>
      </w:r>
    </w:p>
    <w:bookmarkStart w:name="z154" w:id="226"/>
    <w:p>
      <w:pPr>
        <w:spacing w:after="0"/>
        <w:ind w:left="0"/>
        <w:jc w:val="both"/>
      </w:pPr>
      <w:r>
        <w:rPr>
          <w:rFonts w:ascii="Times New Roman"/>
          <w:b w:val="false"/>
          <w:i w:val="false"/>
          <w:color w:val="000000"/>
          <w:sz w:val="28"/>
        </w:rPr>
        <w:t>
      104. Подразделение информационного обеспечения брокера и (или) дилера, Управляющего ведет учет фактических системных проблем, с учетом которых применяются незамедлительные меры по разработке мер безопасности с целью предотвращения повторного возникновения проблем, посредством проведения следующих мероприятий:</w:t>
      </w:r>
    </w:p>
    <w:bookmarkEnd w:id="226"/>
    <w:p>
      <w:pPr>
        <w:spacing w:after="0"/>
        <w:ind w:left="0"/>
        <w:jc w:val="both"/>
      </w:pPr>
      <w:r>
        <w:rPr>
          <w:rFonts w:ascii="Times New Roman"/>
          <w:b w:val="false"/>
          <w:i w:val="false"/>
          <w:color w:val="000000"/>
          <w:sz w:val="28"/>
        </w:rPr>
        <w:t>
      1) заполнение листов учета технических проблем и ведения по ним отчетности;</w:t>
      </w:r>
    </w:p>
    <w:p>
      <w:pPr>
        <w:spacing w:after="0"/>
        <w:ind w:left="0"/>
        <w:jc w:val="both"/>
      </w:pPr>
      <w:r>
        <w:rPr>
          <w:rFonts w:ascii="Times New Roman"/>
          <w:b w:val="false"/>
          <w:i w:val="false"/>
          <w:color w:val="000000"/>
          <w:sz w:val="28"/>
        </w:rPr>
        <w:t>
      2) отслеживание причин возникновения проблемы, извещения о них изготовителя информационной системы и принятие коррективных мер для предотвращения их повторного возникновения;</w:t>
      </w:r>
    </w:p>
    <w:p>
      <w:pPr>
        <w:spacing w:after="0"/>
        <w:ind w:left="0"/>
        <w:jc w:val="both"/>
      </w:pPr>
      <w:r>
        <w:rPr>
          <w:rFonts w:ascii="Times New Roman"/>
          <w:b w:val="false"/>
          <w:i w:val="false"/>
          <w:color w:val="000000"/>
          <w:sz w:val="28"/>
        </w:rPr>
        <w:t>
      3) проведение не менее, чем раз в квартал, проверок технических комплексов, обеспечивающих функционирование автоматизированной базы данных;</w:t>
      </w:r>
    </w:p>
    <w:p>
      <w:pPr>
        <w:spacing w:after="0"/>
        <w:ind w:left="0"/>
        <w:jc w:val="both"/>
      </w:pPr>
      <w:r>
        <w:rPr>
          <w:rFonts w:ascii="Times New Roman"/>
          <w:b w:val="false"/>
          <w:i w:val="false"/>
          <w:color w:val="000000"/>
          <w:sz w:val="28"/>
        </w:rPr>
        <w:t>
      4) осуществление мониторинга и идентификации пользователей терминалов управления автоматизированной базой данных, в том числе контроля видов и объема, проведенных ими операций на предмет их соответствия функциональным обязанностям пользователя.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w:t>
            </w:r>
            <w:r>
              <w:br/>
            </w:r>
            <w:r>
              <w:rPr>
                <w:rFonts w:ascii="Times New Roman"/>
                <w:b w:val="false"/>
                <w:i w:val="false"/>
                <w:color w:val="000000"/>
                <w:sz w:val="20"/>
              </w:rPr>
              <w:t>рисками и внутреннего контроля</w:t>
            </w:r>
            <w:r>
              <w:br/>
            </w:r>
            <w:r>
              <w:rPr>
                <w:rFonts w:ascii="Times New Roman"/>
                <w:b w:val="false"/>
                <w:i w:val="false"/>
                <w:color w:val="000000"/>
                <w:sz w:val="20"/>
              </w:rPr>
              <w:t>для организаций, осуществляющих</w:t>
            </w:r>
            <w:r>
              <w:br/>
            </w:r>
            <w:r>
              <w:rPr>
                <w:rFonts w:ascii="Times New Roman"/>
                <w:b w:val="false"/>
                <w:i w:val="false"/>
                <w:color w:val="000000"/>
                <w:sz w:val="20"/>
              </w:rPr>
              <w:t>брокерскую и дилерскую</w:t>
            </w:r>
            <w:r>
              <w:br/>
            </w:r>
            <w:r>
              <w:rPr>
                <w:rFonts w:ascii="Times New Roman"/>
                <w:b w:val="false"/>
                <w:i w:val="false"/>
                <w:color w:val="000000"/>
                <w:sz w:val="20"/>
              </w:rPr>
              <w:t>деятельность на рынке ценных</w:t>
            </w:r>
            <w:r>
              <w:br/>
            </w:r>
            <w:r>
              <w:rPr>
                <w:rFonts w:ascii="Times New Roman"/>
                <w:b w:val="false"/>
                <w:i w:val="false"/>
                <w:color w:val="000000"/>
                <w:sz w:val="20"/>
              </w:rPr>
              <w:t>бумаг, деятельность по</w:t>
            </w:r>
            <w:r>
              <w:br/>
            </w:r>
            <w:r>
              <w:rPr>
                <w:rFonts w:ascii="Times New Roman"/>
                <w:b w:val="false"/>
                <w:i w:val="false"/>
                <w:color w:val="000000"/>
                <w:sz w:val="20"/>
              </w:rPr>
              <w:t>управлению 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10.09.2019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 w:id="227"/>
    <w:p>
      <w:pPr>
        <w:spacing w:after="0"/>
        <w:ind w:left="0"/>
        <w:jc w:val="left"/>
      </w:pPr>
      <w:r>
        <w:rPr>
          <w:rFonts w:ascii="Times New Roman"/>
          <w:b/>
          <w:i w:val="false"/>
          <w:color w:val="000000"/>
        </w:rPr>
        <w:t xml:space="preserve"> "Отчет об оценке выполнения требований к системам управления рисками"</w:t>
      </w:r>
    </w:p>
    <w:bookmarkEnd w:id="227"/>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(наименование брокера и (или) дилера, Управляющего)</w:t>
      </w:r>
    </w:p>
    <w:p>
      <w:pPr>
        <w:spacing w:after="0"/>
        <w:ind w:left="0"/>
        <w:jc w:val="left"/>
      </w:pPr>
      <w:r>
        <w:rPr>
          <w:rFonts w:ascii="Times New Roman"/>
          <w:b/>
          <w:i w:val="false"/>
          <w:color w:val="000000"/>
        </w:rPr>
        <w:t xml:space="preserve"> Отчетный период: за "______"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соответствующего абзаца, части, подпункта, пункта Правил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требованиям Правил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недостатки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(планируемые) мероприятия по устранению недостатков (содержание мероприятия, сроки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 (фамилия, имя, отчество (при его наличии), должность, контактная информация)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Оценка соответствия требованиям к системам управления рисками:</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p>
        </w:tc>
      </w:tr>
    </w:tbl>
    <w:p>
      <w:pPr>
        <w:spacing w:after="0"/>
        <w:ind w:left="0"/>
        <w:jc w:val="both"/>
      </w:pPr>
      <w:r>
        <w:rPr>
          <w:rFonts w:ascii="Times New Roman"/>
          <w:b w:val="false"/>
          <w:i w:val="false"/>
          <w:color w:val="000000"/>
          <w:sz w:val="28"/>
        </w:rPr>
        <w:t>
      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Руководитель подразделения по управлению рисками</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 об оценке</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и внутреннего контроля"</w:t>
            </w:r>
          </w:p>
        </w:tc>
      </w:tr>
    </w:tbl>
    <w:bookmarkStart w:name="z440" w:id="228"/>
    <w:p>
      <w:pPr>
        <w:spacing w:after="0"/>
        <w:ind w:left="0"/>
        <w:jc w:val="left"/>
      </w:pPr>
      <w:r>
        <w:rPr>
          <w:rFonts w:ascii="Times New Roman"/>
          <w:b/>
          <w:i w:val="false"/>
          <w:color w:val="000000"/>
        </w:rPr>
        <w:t xml:space="preserve"> Пояснение по заполнению формы "Отчет об оценке выполнения требований к системам управления рисками"</w:t>
      </w:r>
    </w:p>
    <w:bookmarkEnd w:id="228"/>
    <w:p>
      <w:pPr>
        <w:spacing w:after="0"/>
        <w:ind w:left="0"/>
        <w:jc w:val="both"/>
      </w:pPr>
      <w:r>
        <w:rPr>
          <w:rFonts w:ascii="Times New Roman"/>
          <w:b w:val="false"/>
          <w:i w:val="false"/>
          <w:color w:val="000000"/>
          <w:sz w:val="28"/>
        </w:rPr>
        <w:t>
      Оценка выполнения требований к системам управления рисками осуществляется по трехбалльной системе исходя из следующих критериев:</w:t>
      </w:r>
    </w:p>
    <w:p>
      <w:pPr>
        <w:spacing w:after="0"/>
        <w:ind w:left="0"/>
        <w:jc w:val="both"/>
      </w:pPr>
      <w:r>
        <w:rPr>
          <w:rFonts w:ascii="Times New Roman"/>
          <w:b w:val="false"/>
          <w:i w:val="false"/>
          <w:color w:val="000000"/>
          <w:sz w:val="28"/>
        </w:rPr>
        <w:t>
      1) оценка "соответствует" выносится при выполнении брокером и (или) дилером, Управляющим критерия требования к системам управления рисками без каких-либо значительных недостатков;</w:t>
      </w:r>
    </w:p>
    <w:p>
      <w:pPr>
        <w:spacing w:after="0"/>
        <w:ind w:left="0"/>
        <w:jc w:val="both"/>
      </w:pPr>
      <w:r>
        <w:rPr>
          <w:rFonts w:ascii="Times New Roman"/>
          <w:b w:val="false"/>
          <w:i w:val="false"/>
          <w:color w:val="000000"/>
          <w:sz w:val="28"/>
        </w:rPr>
        <w:t>
      2) оценка "частично соответствует" выносится при обнаружении недостатков, которые не считаются достаточными для появления серьезных сомнений относительно способности брокера и (или) дилера, Управляющего в достижении соблюдения конкретного критерия требования к системам управления рисками;</w:t>
      </w:r>
    </w:p>
    <w:p>
      <w:pPr>
        <w:spacing w:after="0"/>
        <w:ind w:left="0"/>
        <w:jc w:val="both"/>
      </w:pPr>
      <w:r>
        <w:rPr>
          <w:rFonts w:ascii="Times New Roman"/>
          <w:b w:val="false"/>
          <w:i w:val="false"/>
          <w:color w:val="000000"/>
          <w:sz w:val="28"/>
        </w:rPr>
        <w:t>
      3) оценка "не соответствует" выносится при невыполнении брокером и (или) дилером, Управляющим критерия требований к системам управления рисками.</w:t>
      </w:r>
    </w:p>
    <w:p>
      <w:pPr>
        <w:spacing w:after="0"/>
        <w:ind w:left="0"/>
        <w:jc w:val="both"/>
      </w:pPr>
      <w:r>
        <w:rPr>
          <w:rFonts w:ascii="Times New Roman"/>
          <w:b w:val="false"/>
          <w:i w:val="false"/>
          <w:color w:val="000000"/>
          <w:sz w:val="28"/>
        </w:rPr>
        <w:t>
      В случае если отдельные требования к системам управления рисками не могут быть применены в отношении брокера и (или) дилера, Управляющего, оценка соответствия данному критерию требования не осуществляется и отмечается соответствующей записью "не применимо".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брокерскую и дилерскую</w:t>
            </w:r>
            <w:r>
              <w:br/>
            </w:r>
            <w:r>
              <w:rPr>
                <w:rFonts w:ascii="Times New Roman"/>
                <w:b w:val="false"/>
                <w:i w:val="false"/>
                <w:color w:val="000000"/>
                <w:sz w:val="20"/>
              </w:rPr>
              <w:t>деятельность на рынке ценных</w:t>
            </w:r>
            <w:r>
              <w:br/>
            </w:r>
            <w:r>
              <w:rPr>
                <w:rFonts w:ascii="Times New Roman"/>
                <w:b w:val="false"/>
                <w:i w:val="false"/>
                <w:color w:val="000000"/>
                <w:sz w:val="20"/>
              </w:rPr>
              <w:t>бумаг, деятельность по</w:t>
            </w:r>
            <w:r>
              <w:br/>
            </w:r>
            <w:r>
              <w:rPr>
                <w:rFonts w:ascii="Times New Roman"/>
                <w:b w:val="false"/>
                <w:i w:val="false"/>
                <w:color w:val="000000"/>
                <w:sz w:val="20"/>
              </w:rPr>
              <w:t>управлению инвестиционным</w:t>
            </w:r>
            <w:r>
              <w:br/>
            </w:r>
            <w:r>
              <w:rPr>
                <w:rFonts w:ascii="Times New Roman"/>
                <w:b w:val="false"/>
                <w:i w:val="false"/>
                <w:color w:val="000000"/>
                <w:sz w:val="20"/>
              </w:rPr>
              <w:t>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76" w:id="229"/>
    <w:p>
      <w:pPr>
        <w:spacing w:after="0"/>
        <w:ind w:left="0"/>
        <w:jc w:val="left"/>
      </w:pPr>
      <w:r>
        <w:rPr>
          <w:rFonts w:ascii="Times New Roman"/>
          <w:b/>
          <w:i w:val="false"/>
          <w:color w:val="000000"/>
        </w:rPr>
        <w:t xml:space="preserve"> Стресс-тестинг по ценовому риску</w:t>
      </w:r>
    </w:p>
    <w:bookmarkEnd w:id="229"/>
    <w:p>
      <w:pPr>
        <w:spacing w:after="0"/>
        <w:ind w:left="0"/>
        <w:jc w:val="both"/>
      </w:pPr>
      <w:r>
        <w:rPr>
          <w:rFonts w:ascii="Times New Roman"/>
          <w:b w:val="false"/>
          <w:i w:val="false"/>
          <w:color w:val="ff0000"/>
          <w:sz w:val="28"/>
        </w:rPr>
        <w:t xml:space="preserve">
      Сноска. Приложение 2 исключено постановлением Правления Национального Банка РК от 10.09.2019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 системы управления</w:t>
            </w:r>
            <w:r>
              <w:br/>
            </w:r>
            <w:r>
              <w:rPr>
                <w:rFonts w:ascii="Times New Roman"/>
                <w:b w:val="false"/>
                <w:i w:val="false"/>
                <w:color w:val="000000"/>
                <w:sz w:val="20"/>
              </w:rPr>
              <w:t xml:space="preserve">рисками и внутреннего контроля для организаций, </w:t>
            </w:r>
            <w:r>
              <w:br/>
            </w:r>
            <w:r>
              <w:rPr>
                <w:rFonts w:ascii="Times New Roman"/>
                <w:b w:val="false"/>
                <w:i w:val="false"/>
                <w:color w:val="000000"/>
                <w:sz w:val="20"/>
              </w:rPr>
              <w:t>осуществляющих брокерскую и дилерскую деятельность</w:t>
            </w:r>
            <w:r>
              <w:br/>
            </w:r>
            <w:r>
              <w:rPr>
                <w:rFonts w:ascii="Times New Roman"/>
                <w:b w:val="false"/>
                <w:i w:val="false"/>
                <w:color w:val="000000"/>
                <w:sz w:val="20"/>
              </w:rPr>
              <w:t>на рынке ценных бумаг, деятельность по</w:t>
            </w:r>
            <w:r>
              <w:br/>
            </w:r>
            <w:r>
              <w:rPr>
                <w:rFonts w:ascii="Times New Roman"/>
                <w:b w:val="false"/>
                <w:i w:val="false"/>
                <w:color w:val="000000"/>
                <w:sz w:val="20"/>
              </w:rPr>
              <w:t>управлению инвестиционным портфелем</w:t>
            </w:r>
          </w:p>
        </w:tc>
      </w:tr>
    </w:tbl>
    <w:bookmarkStart w:name="z167" w:id="230"/>
    <w:p>
      <w:pPr>
        <w:spacing w:after="0"/>
        <w:ind w:left="0"/>
        <w:jc w:val="left"/>
      </w:pPr>
      <w:r>
        <w:rPr>
          <w:rFonts w:ascii="Times New Roman"/>
          <w:b/>
          <w:i w:val="false"/>
          <w:color w:val="000000"/>
        </w:rPr>
        <w:t xml:space="preserve"> Отчет о соблюдении (использовании)</w:t>
      </w:r>
      <w:r>
        <w:br/>
      </w:r>
      <w:r>
        <w:rPr>
          <w:rFonts w:ascii="Times New Roman"/>
          <w:b/>
          <w:i w:val="false"/>
          <w:color w:val="000000"/>
        </w:rPr>
        <w:t>установленных лимитов инвестирования</w:t>
      </w:r>
    </w:p>
    <w:bookmarkEnd w:id="230"/>
    <w:p>
      <w:pPr>
        <w:spacing w:after="0"/>
        <w:ind w:left="0"/>
        <w:jc w:val="both"/>
      </w:pPr>
      <w:r>
        <w:rPr>
          <w:rFonts w:ascii="Times New Roman"/>
          <w:b w:val="false"/>
          <w:i w:val="false"/>
          <w:color w:val="ff0000"/>
          <w:sz w:val="28"/>
        </w:rPr>
        <w:t xml:space="preserve">
      Сноска. Приложение 3 исключено постановлением Правления Национального Банка РК от 10.09.2019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 системы управления</w:t>
            </w:r>
            <w:r>
              <w:br/>
            </w:r>
            <w:r>
              <w:rPr>
                <w:rFonts w:ascii="Times New Roman"/>
                <w:b w:val="false"/>
                <w:i w:val="false"/>
                <w:color w:val="000000"/>
                <w:sz w:val="20"/>
              </w:rPr>
              <w:t xml:space="preserve">рисками и внутреннего контроля для организаций, </w:t>
            </w:r>
            <w:r>
              <w:br/>
            </w:r>
            <w:r>
              <w:rPr>
                <w:rFonts w:ascii="Times New Roman"/>
                <w:b w:val="false"/>
                <w:i w:val="false"/>
                <w:color w:val="000000"/>
                <w:sz w:val="20"/>
              </w:rPr>
              <w:t>осуществляющих брокерскую и дилерскую деятельность</w:t>
            </w:r>
            <w:r>
              <w:br/>
            </w:r>
            <w:r>
              <w:rPr>
                <w:rFonts w:ascii="Times New Roman"/>
                <w:b w:val="false"/>
                <w:i w:val="false"/>
                <w:color w:val="000000"/>
                <w:sz w:val="20"/>
              </w:rPr>
              <w:t>на рынке ценных бумаг, деятельность по</w:t>
            </w:r>
            <w:r>
              <w:br/>
            </w:r>
            <w:r>
              <w:rPr>
                <w:rFonts w:ascii="Times New Roman"/>
                <w:b w:val="false"/>
                <w:i w:val="false"/>
                <w:color w:val="000000"/>
                <w:sz w:val="20"/>
              </w:rPr>
              <w:t>управлению инвестиционным портфелем</w:t>
            </w:r>
          </w:p>
        </w:tc>
      </w:tr>
    </w:tbl>
    <w:bookmarkStart w:name="z169" w:id="231"/>
    <w:p>
      <w:pPr>
        <w:spacing w:after="0"/>
        <w:ind w:left="0"/>
        <w:jc w:val="left"/>
      </w:pPr>
      <w:r>
        <w:rPr>
          <w:rFonts w:ascii="Times New Roman"/>
          <w:b/>
          <w:i w:val="false"/>
          <w:color w:val="000000"/>
        </w:rPr>
        <w:t xml:space="preserve"> Отчет о соблюдении (использовании)</w:t>
      </w:r>
      <w:r>
        <w:br/>
      </w:r>
      <w:r>
        <w:rPr>
          <w:rFonts w:ascii="Times New Roman"/>
          <w:b/>
          <w:i w:val="false"/>
          <w:color w:val="000000"/>
        </w:rPr>
        <w:t>установленных лимитов "stop-loss" и "take-profit"</w:t>
      </w:r>
    </w:p>
    <w:bookmarkEnd w:id="231"/>
    <w:p>
      <w:pPr>
        <w:spacing w:after="0"/>
        <w:ind w:left="0"/>
        <w:jc w:val="both"/>
      </w:pPr>
      <w:r>
        <w:rPr>
          <w:rFonts w:ascii="Times New Roman"/>
          <w:b w:val="false"/>
          <w:i w:val="false"/>
          <w:color w:val="ff0000"/>
          <w:sz w:val="28"/>
        </w:rPr>
        <w:t xml:space="preserve">
      Сноска. Приложение 4 исключено постановлением Правления Национального Банка РК от 10.09.2019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формирования системы</w:t>
            </w:r>
            <w:r>
              <w:br/>
            </w:r>
            <w:r>
              <w:rPr>
                <w:rFonts w:ascii="Times New Roman"/>
                <w:b w:val="false"/>
                <w:i w:val="false"/>
                <w:color w:val="000000"/>
                <w:sz w:val="20"/>
              </w:rPr>
              <w:t>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брокерскую и дилерскую</w:t>
            </w:r>
            <w:r>
              <w:br/>
            </w:r>
            <w:r>
              <w:rPr>
                <w:rFonts w:ascii="Times New Roman"/>
                <w:b w:val="false"/>
                <w:i w:val="false"/>
                <w:color w:val="000000"/>
                <w:sz w:val="20"/>
              </w:rPr>
              <w:t>деятельность на рынке ценных</w:t>
            </w:r>
            <w:r>
              <w:br/>
            </w:r>
            <w:r>
              <w:rPr>
                <w:rFonts w:ascii="Times New Roman"/>
                <w:b w:val="false"/>
                <w:i w:val="false"/>
                <w:color w:val="000000"/>
                <w:sz w:val="20"/>
              </w:rPr>
              <w:t>бумаг, деятельность по управлению</w:t>
            </w:r>
            <w:r>
              <w:br/>
            </w:r>
            <w:r>
              <w:rPr>
                <w:rFonts w:ascii="Times New Roman"/>
                <w:b w:val="false"/>
                <w:i w:val="false"/>
                <w:color w:val="000000"/>
                <w:sz w:val="20"/>
              </w:rPr>
              <w:t>инвестиционным портфелем</w:t>
            </w:r>
          </w:p>
        </w:tc>
      </w:tr>
    </w:tbl>
    <w:p>
      <w:pPr>
        <w:spacing w:after="0"/>
        <w:ind w:left="0"/>
        <w:jc w:val="both"/>
      </w:pPr>
      <w:r>
        <w:rPr>
          <w:rFonts w:ascii="Times New Roman"/>
          <w:b w:val="false"/>
          <w:i w:val="false"/>
          <w:color w:val="ff0000"/>
          <w:sz w:val="28"/>
        </w:rPr>
        <w:t xml:space="preserve">
      Сноска. Приложение 5 - в редакции постановления Правления Агентства РК по регулированию и развитию финансового рынка от 24.09.2021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Расшифровка максимального</w:t>
            </w:r>
            <w:r>
              <w:br/>
            </w:r>
            <w:r>
              <w:rPr>
                <w:rFonts w:ascii="Times New Roman"/>
                <w:b w:val="false"/>
                <w:i w:val="false"/>
                <w:color w:val="000000"/>
                <w:sz w:val="20"/>
              </w:rPr>
              <w:t>риска на одного клиента</w:t>
            </w:r>
            <w:r>
              <w:br/>
            </w:r>
            <w:r>
              <w:rPr>
                <w:rFonts w:ascii="Times New Roman"/>
                <w:b w:val="false"/>
                <w:i w:val="false"/>
                <w:color w:val="000000"/>
                <w:sz w:val="20"/>
              </w:rPr>
              <w:t>(в разрезе клиентов)</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брокера и (или)</w:t>
            </w:r>
            <w:r>
              <w:br/>
            </w:r>
            <w:r>
              <w:rPr>
                <w:rFonts w:ascii="Times New Roman"/>
                <w:b w:val="false"/>
                <w:i w:val="false"/>
                <w:color w:val="000000"/>
                <w:sz w:val="20"/>
              </w:rPr>
              <w:t>дилера или Управляющего,</w:t>
            </w:r>
            <w:r>
              <w:br/>
            </w:r>
            <w:r>
              <w:rPr>
                <w:rFonts w:ascii="Times New Roman"/>
                <w:b w:val="false"/>
                <w:i w:val="false"/>
                <w:color w:val="000000"/>
                <w:sz w:val="20"/>
              </w:rPr>
              <w:t>являющегося брокером</w:t>
            </w:r>
            <w:r>
              <w:br/>
            </w:r>
            <w:r>
              <w:rPr>
                <w:rFonts w:ascii="Times New Roman"/>
                <w:b w:val="false"/>
                <w:i w:val="false"/>
                <w:color w:val="000000"/>
                <w:sz w:val="20"/>
              </w:rPr>
              <w:t>и (или) дилером)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3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2"/>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субсчета, открытого в системе учета центрального депозитария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надежности (платежеспособности)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объема поданных клиентами заявок, в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 рассчитанных сделок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денег, находящихся на банковском счете брокера и (или) дилера (кастодиана) или Управляющего, являющегося брокером и (или) дилером, без учета денег, являющихся обеспечением по заключенным маржинальным сделкам,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покупку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продажу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1" w:id="234"/>
    <w:p>
      <w:pPr>
        <w:spacing w:after="0"/>
        <w:ind w:left="0"/>
        <w:jc w:val="both"/>
      </w:pPr>
      <w:r>
        <w:rPr>
          <w:rFonts w:ascii="Times New Roman"/>
          <w:b w:val="false"/>
          <w:i w:val="false"/>
          <w:color w:val="000000"/>
          <w:sz w:val="28"/>
        </w:rPr>
        <w:t>
      Продолжение таблицы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35"/>
          <w:p>
            <w:pPr>
              <w:spacing w:after="20"/>
              <w:ind w:left="20"/>
              <w:jc w:val="both"/>
            </w:pPr>
            <w:r>
              <w:rPr>
                <w:rFonts w:ascii="Times New Roman"/>
                <w:b w:val="false"/>
                <w:i w:val="false"/>
                <w:color w:val="000000"/>
                <w:sz w:val="20"/>
              </w:rPr>
              <w:t>
</w:t>
            </w:r>
            <w:r>
              <w:rPr>
                <w:rFonts w:ascii="Times New Roman"/>
                <w:b w:val="false"/>
                <w:i w:val="false"/>
                <w:color w:val="000000"/>
                <w:sz w:val="20"/>
              </w:rPr>
              <w:t>Объем ценных бумаг клиента, находящихся на лицевых счетах (субсчетах) в системе учета номинального держания, без учета ценных бумаг, являющихся обеспечением по заключенным маржинальным сделкам, в штуках</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собственного капитала,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размера рисков к размеру собственного капитала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3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2" w:id="237"/>
    <w:p>
      <w:pPr>
        <w:spacing w:after="0"/>
        <w:ind w:left="0"/>
        <w:jc w:val="both"/>
      </w:pPr>
      <w:r>
        <w:rPr>
          <w:rFonts w:ascii="Times New Roman"/>
          <w:b w:val="false"/>
          <w:i w:val="false"/>
          <w:color w:val="000000"/>
          <w:sz w:val="28"/>
        </w:rPr>
        <w:t>
      Примечание:</w:t>
      </w:r>
    </w:p>
    <w:bookmarkEnd w:id="237"/>
    <w:bookmarkStart w:name="z573" w:id="238"/>
    <w:p>
      <w:pPr>
        <w:spacing w:after="0"/>
        <w:ind w:left="0"/>
        <w:jc w:val="both"/>
      </w:pPr>
      <w:r>
        <w:rPr>
          <w:rFonts w:ascii="Times New Roman"/>
          <w:b w:val="false"/>
          <w:i w:val="false"/>
          <w:color w:val="000000"/>
          <w:sz w:val="28"/>
        </w:rPr>
        <w:t>
      В графе 2 указывается наименование клиента, брокера и (или) дилера или Управляющего, являющегося брокером и (или) дилером, заключившего с ним договор на брокерское обслуживание. Для клиента, являющегося:</w:t>
      </w:r>
    </w:p>
    <w:bookmarkEnd w:id="238"/>
    <w:bookmarkStart w:name="z574" w:id="239"/>
    <w:p>
      <w:pPr>
        <w:spacing w:after="0"/>
        <w:ind w:left="0"/>
        <w:jc w:val="both"/>
      </w:pPr>
      <w:r>
        <w:rPr>
          <w:rFonts w:ascii="Times New Roman"/>
          <w:b w:val="false"/>
          <w:i w:val="false"/>
          <w:color w:val="000000"/>
          <w:sz w:val="28"/>
        </w:rPr>
        <w:t>
      1) юридическим лицом, указывается полное наименование юридического лица;</w:t>
      </w:r>
    </w:p>
    <w:bookmarkEnd w:id="239"/>
    <w:bookmarkStart w:name="z575" w:id="240"/>
    <w:p>
      <w:pPr>
        <w:spacing w:after="0"/>
        <w:ind w:left="0"/>
        <w:jc w:val="both"/>
      </w:pPr>
      <w:r>
        <w:rPr>
          <w:rFonts w:ascii="Times New Roman"/>
          <w:b w:val="false"/>
          <w:i w:val="false"/>
          <w:color w:val="000000"/>
          <w:sz w:val="28"/>
        </w:rPr>
        <w:t>
      2) физическим лицом, полностью указываются фамилия, имя и отчество (при наличии).</w:t>
      </w:r>
    </w:p>
    <w:bookmarkEnd w:id="240"/>
    <w:bookmarkStart w:name="z576" w:id="241"/>
    <w:p>
      <w:pPr>
        <w:spacing w:after="0"/>
        <w:ind w:left="0"/>
        <w:jc w:val="both"/>
      </w:pPr>
      <w:r>
        <w:rPr>
          <w:rFonts w:ascii="Times New Roman"/>
          <w:b w:val="false"/>
          <w:i w:val="false"/>
          <w:color w:val="000000"/>
          <w:sz w:val="28"/>
        </w:rPr>
        <w:t>
      В графе 3 указывается 10-значный номер субсчета клиента открытого в системе учета номинального держания центрального депозитария.</w:t>
      </w:r>
    </w:p>
    <w:bookmarkEnd w:id="241"/>
    <w:bookmarkStart w:name="z577" w:id="242"/>
    <w:p>
      <w:pPr>
        <w:spacing w:after="0"/>
        <w:ind w:left="0"/>
        <w:jc w:val="both"/>
      </w:pPr>
      <w:r>
        <w:rPr>
          <w:rFonts w:ascii="Times New Roman"/>
          <w:b w:val="false"/>
          <w:i w:val="false"/>
          <w:color w:val="000000"/>
          <w:sz w:val="28"/>
        </w:rPr>
        <w:t>
      В графе 4 указывается категория, характеризующая степень надежности (платежеспособности) клиента.</w:t>
      </w:r>
    </w:p>
    <w:bookmarkEnd w:id="242"/>
    <w:bookmarkStart w:name="z578" w:id="243"/>
    <w:p>
      <w:pPr>
        <w:spacing w:after="0"/>
        <w:ind w:left="0"/>
        <w:jc w:val="both"/>
      </w:pPr>
      <w:r>
        <w:rPr>
          <w:rFonts w:ascii="Times New Roman"/>
          <w:b w:val="false"/>
          <w:i w:val="false"/>
          <w:color w:val="000000"/>
          <w:sz w:val="28"/>
        </w:rPr>
        <w:t>
      В графе 5 и 6 указывается объем поданных клиентом активных заявок на покупку и продажу ценных бумаг на организованном и международном (иностранном) рынках ценных бумаг.</w:t>
      </w:r>
    </w:p>
    <w:bookmarkEnd w:id="243"/>
    <w:bookmarkStart w:name="z579" w:id="244"/>
    <w:p>
      <w:pPr>
        <w:spacing w:after="0"/>
        <w:ind w:left="0"/>
        <w:jc w:val="both"/>
      </w:pPr>
      <w:r>
        <w:rPr>
          <w:rFonts w:ascii="Times New Roman"/>
          <w:b w:val="false"/>
          <w:i w:val="false"/>
          <w:color w:val="000000"/>
          <w:sz w:val="28"/>
        </w:rPr>
        <w:t>
      В графе 7 указывается объем заключенных, но не рассчитанных сделок с ценными бумагами на международном (иностранном) рынках ценных бумаг.</w:t>
      </w:r>
    </w:p>
    <w:bookmarkEnd w:id="244"/>
    <w:bookmarkStart w:name="z580" w:id="245"/>
    <w:p>
      <w:pPr>
        <w:spacing w:after="0"/>
        <w:ind w:left="0"/>
        <w:jc w:val="both"/>
      </w:pPr>
      <w:r>
        <w:rPr>
          <w:rFonts w:ascii="Times New Roman"/>
          <w:b w:val="false"/>
          <w:i w:val="false"/>
          <w:color w:val="000000"/>
          <w:sz w:val="28"/>
        </w:rPr>
        <w:t>
      В графе 8 указывается объем денег клиентов брокера и (или) дилера или Управляющего, находящихся на банковском счете брокера и (или) дилера и (или) кастодиана, от имени которых были поданы заявки на покупку ценных бумаг, указанные в графе 5, либо заключены сделки по покупке ценных бумаг, указанные в графе 7, без учета денег, являющихся обеспечением по заключенным маржинальным сделкам.</w:t>
      </w:r>
    </w:p>
    <w:bookmarkEnd w:id="245"/>
    <w:bookmarkStart w:name="z581" w:id="246"/>
    <w:p>
      <w:pPr>
        <w:spacing w:after="0"/>
        <w:ind w:left="0"/>
        <w:jc w:val="both"/>
      </w:pPr>
      <w:r>
        <w:rPr>
          <w:rFonts w:ascii="Times New Roman"/>
          <w:b w:val="false"/>
          <w:i w:val="false"/>
          <w:color w:val="000000"/>
          <w:sz w:val="28"/>
        </w:rPr>
        <w:t>
      В графе 9 указывается количество ценных бумаг, являющихся предметом заявки, указанной в графе 6, либо сделки по продаже ценных бумаг, указанные в графе 7, находящиеся в системе учета номинального держания брокера и (или) дилера и (или) кастодиана, без учета ценных бумаг, являющихся обеспечением по заключенным маржинальным сделкам.</w:t>
      </w:r>
    </w:p>
    <w:bookmarkEnd w:id="246"/>
    <w:bookmarkStart w:name="z582" w:id="247"/>
    <w:p>
      <w:pPr>
        <w:spacing w:after="0"/>
        <w:ind w:left="0"/>
        <w:jc w:val="both"/>
      </w:pPr>
      <w:r>
        <w:rPr>
          <w:rFonts w:ascii="Times New Roman"/>
          <w:b w:val="false"/>
          <w:i w:val="false"/>
          <w:color w:val="000000"/>
          <w:sz w:val="28"/>
        </w:rPr>
        <w:t>
      В графе 10 указывается размер риска, рассчитываемый как сумма значений, указанных в графах 5, 6 и 7, за минусом значений, указанных в графах 8 (вычитание производится только в случае подачи заявки на покупку ценных бумаг, либо заключению сделки по покупке ценных бумаг, в размере, не превышающем сумму значений, указанных в графах 5 и 7) и 9 (вычитание производится только в случае подачи заявки на продажу ценных бумаг, либо заключению сделки по продаже ценных, в размере, не превышающем сумму значений, указанных в графах 6 и 7).</w:t>
      </w:r>
    </w:p>
    <w:bookmarkEnd w:id="247"/>
    <w:bookmarkStart w:name="z583" w:id="248"/>
    <w:p>
      <w:pPr>
        <w:spacing w:after="0"/>
        <w:ind w:left="0"/>
        <w:jc w:val="both"/>
      </w:pPr>
      <w:r>
        <w:rPr>
          <w:rFonts w:ascii="Times New Roman"/>
          <w:b w:val="false"/>
          <w:i w:val="false"/>
          <w:color w:val="000000"/>
          <w:sz w:val="28"/>
        </w:rPr>
        <w:t>
      Для расчетов графы 10, графа 9 (в случаях, когда значение в графе 9, меньше чем сумма значений, указанных в графах 6 и 7) рассматривается в денежном эквиваленте, а именно объем ценных бумаг клиента учитывается по средневзвешенной цене заявок указанных в графе 6, и сделок по продаже ценных бумаг, указанных в графе 7.</w:t>
      </w:r>
    </w:p>
    <w:bookmarkEnd w:id="2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214</w:t>
            </w:r>
          </w:p>
        </w:tc>
      </w:tr>
    </w:tbl>
    <w:bookmarkStart w:name="z6" w:id="249"/>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утративших силу</w:t>
      </w:r>
    </w:p>
    <w:bookmarkEnd w:id="249"/>
    <w:bookmarkStart w:name="z7" w:id="2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сентября 2009 года № 209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(зарегистрированное в Реестре государственной регистрации нормативных правовых актов под № 5844).</w:t>
      </w:r>
    </w:p>
    <w:bookmarkEnd w:id="250"/>
    <w:bookmarkStart w:name="z8" w:id="2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4 октября 2010 года № 150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 6632). </w:t>
      </w:r>
    </w:p>
    <w:bookmarkEnd w:id="251"/>
    <w:bookmarkStart w:name="z9" w:id="2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278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сентября 2009 года № 209 "Об утверждении Инструкции о требованиях по наличию системы управления рисками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(зарегистрированное в Реестре государственной регистрации нормативных правовых актов под № 8007, опубликованное в "Казахстанская правда" от 20 декабря 2012 г. № 440-441 (27259-27260); от 22 декабря 2012 г. № 444-445 (27263-27264)). </w:t>
      </w:r>
    </w:p>
    <w:bookmarkEnd w:id="2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