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3525" w14:textId="f773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214. Зарегистрирован в Министерстве юстиции Республики Казахстан 10 октября 2013 года № 8796.</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постановлением Правления Национального Банка РК от 22.12.2017 </w:t>
      </w:r>
      <w:r>
        <w:rPr>
          <w:rFonts w:ascii="Times New Roman"/>
          <w:b w:val="false"/>
          <w:i w:val="false"/>
          <w:color w:val="ff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постановлением Правления Национального Банка РК от 22.12.2017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нормативные правовые акты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августа 2013 года № 214</w:t>
            </w:r>
          </w:p>
        </w:tc>
      </w:tr>
    </w:tbl>
    <w:bookmarkStart w:name="z11" w:id="4"/>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p>
    <w:bookmarkEnd w:id="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постановлением Правления Национального Банка РК от 22.12.2017 </w:t>
      </w:r>
      <w:r>
        <w:rPr>
          <w:rFonts w:ascii="Times New Roman"/>
          <w:b w:val="false"/>
          <w:i w:val="false"/>
          <w:color w:val="ff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both"/>
      </w:pPr>
      <w:r>
        <w:rPr>
          <w:rFonts w:ascii="Times New Roman"/>
          <w:b w:val="false"/>
          <w:i w:val="false"/>
          <w:color w:val="000000"/>
          <w:sz w:val="28"/>
        </w:rPr>
        <w:t xml:space="preserve">
      Настоящие Правила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(далее – Правила) разработаны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порядок формирования системы управления рисками и внутреннего контроля для организаций, обладающих лицензией на осуществление брокерской и дилерской деятельности (далее – брокер и (или) дилер), деятельности по управлению инвестиционным портфелем (далее – Управляющий).</w:t>
      </w:r>
    </w:p>
    <w:bookmarkEnd w:id="5"/>
    <w:p>
      <w:pPr>
        <w:spacing w:after="0"/>
        <w:ind w:left="0"/>
        <w:jc w:val="both"/>
      </w:pPr>
      <w:r>
        <w:rPr>
          <w:rFonts w:ascii="Times New Roman"/>
          <w:b w:val="false"/>
          <w:i w:val="false"/>
          <w:color w:val="000000"/>
          <w:sz w:val="28"/>
        </w:rPr>
        <w:t>
      Требования к программно-техническому обеспечению, используемому для поддержания системы управления рисками, а также к автоматизации деятельности Управляющего, предусмотренные Правилами, не распространяют свое действие на отношения, возникающие при использовании информационных ресурсов Национального Банка Республики Казахстан на основании соответствующего соглашения, заключенного между Управляющим и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both"/>
      </w:pPr>
      <w:r>
        <w:rPr>
          <w:rFonts w:ascii="Times New Roman"/>
          <w:b w:val="false"/>
          <w:i w:val="false"/>
          <w:color w:val="000000"/>
          <w:sz w:val="28"/>
        </w:rPr>
        <w:t>
      1. Целью Правил является определение требований к формированию у брокера и (или) дилера, Управляющего системы управления рисками.</w:t>
      </w:r>
    </w:p>
    <w:bookmarkEnd w:id="7"/>
    <w:p>
      <w:pPr>
        <w:spacing w:after="0"/>
        <w:ind w:left="0"/>
        <w:jc w:val="both"/>
      </w:pPr>
      <w:r>
        <w:rPr>
          <w:rFonts w:ascii="Times New Roman"/>
          <w:b w:val="false"/>
          <w:i w:val="false"/>
          <w:color w:val="000000"/>
          <w:sz w:val="28"/>
        </w:rPr>
        <w:t xml:space="preserve">
      Требования подпункта 3) </w:t>
      </w:r>
      <w:r>
        <w:rPr>
          <w:rFonts w:ascii="Times New Roman"/>
          <w:b w:val="false"/>
          <w:i w:val="false"/>
          <w:color w:val="000000"/>
          <w:sz w:val="28"/>
        </w:rPr>
        <w:t>пункта 42</w:t>
      </w:r>
      <w:r>
        <w:rPr>
          <w:rFonts w:ascii="Times New Roman"/>
          <w:b w:val="false"/>
          <w:i w:val="false"/>
          <w:color w:val="000000"/>
          <w:sz w:val="28"/>
        </w:rPr>
        <w:t xml:space="preserve">, подпунктов 4), 5), 6), и 7) </w:t>
      </w:r>
      <w:r>
        <w:rPr>
          <w:rFonts w:ascii="Times New Roman"/>
          <w:b w:val="false"/>
          <w:i w:val="false"/>
          <w:color w:val="000000"/>
          <w:sz w:val="28"/>
        </w:rPr>
        <w:t>пункта 43</w:t>
      </w:r>
      <w:r>
        <w:rPr>
          <w:rFonts w:ascii="Times New Roman"/>
          <w:b w:val="false"/>
          <w:i w:val="false"/>
          <w:color w:val="000000"/>
          <w:sz w:val="28"/>
        </w:rPr>
        <w:t xml:space="preserve">, </w:t>
      </w:r>
      <w:r>
        <w:rPr>
          <w:rFonts w:ascii="Times New Roman"/>
          <w:b w:val="false"/>
          <w:i w:val="false"/>
          <w:color w:val="000000"/>
          <w:sz w:val="28"/>
        </w:rPr>
        <w:t>пунктов 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Правил не распространяются в отношении управления золотовалютными активами Национального Банка Республики Казахстан и активами Национального фонда Республики Казахстан, переданными в доверительное управление дочерней организации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Порядок формирования системы управления рисками для брокера и (или) дилера, Управляющего включает в себя следующее:</w:t>
      </w:r>
    </w:p>
    <w:bookmarkEnd w:id="8"/>
    <w:p>
      <w:pPr>
        <w:spacing w:after="0"/>
        <w:ind w:left="0"/>
        <w:jc w:val="both"/>
      </w:pPr>
      <w:r>
        <w:rPr>
          <w:rFonts w:ascii="Times New Roman"/>
          <w:b w:val="false"/>
          <w:i w:val="false"/>
          <w:color w:val="000000"/>
          <w:sz w:val="28"/>
        </w:rPr>
        <w:t>
      1) базовые требования к наличию системы управления рисками;</w:t>
      </w:r>
    </w:p>
    <w:p>
      <w:pPr>
        <w:spacing w:after="0"/>
        <w:ind w:left="0"/>
        <w:jc w:val="both"/>
      </w:pPr>
      <w:r>
        <w:rPr>
          <w:rFonts w:ascii="Times New Roman"/>
          <w:b w:val="false"/>
          <w:i w:val="false"/>
          <w:color w:val="000000"/>
          <w:sz w:val="28"/>
        </w:rPr>
        <w:t>
      2) требования к внутренним документам брокера и (или) дилера, Управляющего;</w:t>
      </w:r>
    </w:p>
    <w:p>
      <w:pPr>
        <w:spacing w:after="0"/>
        <w:ind w:left="0"/>
        <w:jc w:val="both"/>
      </w:pPr>
      <w:r>
        <w:rPr>
          <w:rFonts w:ascii="Times New Roman"/>
          <w:b w:val="false"/>
          <w:i w:val="false"/>
          <w:color w:val="000000"/>
          <w:sz w:val="28"/>
        </w:rPr>
        <w:t>
      3) требования к организации деятельности по управлению активами клиентов, принятыми в инвестиционное управление, и собственными активами брокера и (или) дилера, Управляющего;</w:t>
      </w:r>
    </w:p>
    <w:p>
      <w:pPr>
        <w:spacing w:after="0"/>
        <w:ind w:left="0"/>
        <w:jc w:val="both"/>
      </w:pPr>
      <w:r>
        <w:rPr>
          <w:rFonts w:ascii="Times New Roman"/>
          <w:b w:val="false"/>
          <w:i w:val="false"/>
          <w:color w:val="000000"/>
          <w:sz w:val="28"/>
        </w:rPr>
        <w:t>
      4) требования к организации деятельности инвестиционного комитета Управляющего и брокера и (или) дилера, являющегося Управляющим;</w:t>
      </w:r>
    </w:p>
    <w:p>
      <w:pPr>
        <w:spacing w:after="0"/>
        <w:ind w:left="0"/>
        <w:jc w:val="both"/>
      </w:pPr>
      <w:r>
        <w:rPr>
          <w:rFonts w:ascii="Times New Roman"/>
          <w:b w:val="false"/>
          <w:i w:val="false"/>
          <w:color w:val="000000"/>
          <w:sz w:val="28"/>
        </w:rPr>
        <w:t>
      5) требования к организации мониторинга рисков, в процессе инвестиционной деятельности Управляющего и брокера и (или) дилера, являющегося Управляющим;</w:t>
      </w:r>
    </w:p>
    <w:p>
      <w:pPr>
        <w:spacing w:after="0"/>
        <w:ind w:left="0"/>
        <w:jc w:val="both"/>
      </w:pPr>
      <w:r>
        <w:rPr>
          <w:rFonts w:ascii="Times New Roman"/>
          <w:b w:val="false"/>
          <w:i w:val="false"/>
          <w:color w:val="000000"/>
          <w:sz w:val="28"/>
        </w:rPr>
        <w:t>
      6) требования к организации мониторинга рисков в процессе деятельности брокера и (или) дилера или Управляющего, являющегося брокером и (или) дилером;</w:t>
      </w:r>
    </w:p>
    <w:p>
      <w:pPr>
        <w:spacing w:after="0"/>
        <w:ind w:left="0"/>
        <w:jc w:val="both"/>
      </w:pPr>
      <w:r>
        <w:rPr>
          <w:rFonts w:ascii="Times New Roman"/>
          <w:b w:val="false"/>
          <w:i w:val="false"/>
          <w:color w:val="000000"/>
          <w:sz w:val="28"/>
        </w:rPr>
        <w:t>
      7) требования к организации внутреннего контроля и внутреннего аудита;</w:t>
      </w:r>
    </w:p>
    <w:p>
      <w:pPr>
        <w:spacing w:after="0"/>
        <w:ind w:left="0"/>
        <w:jc w:val="both"/>
      </w:pPr>
      <w:r>
        <w:rPr>
          <w:rFonts w:ascii="Times New Roman"/>
          <w:b w:val="false"/>
          <w:i w:val="false"/>
          <w:color w:val="000000"/>
          <w:sz w:val="28"/>
        </w:rPr>
        <w:t>
      8) требования к организации системы информационного обмена;</w:t>
      </w:r>
    </w:p>
    <w:p>
      <w:pPr>
        <w:spacing w:after="0"/>
        <w:ind w:left="0"/>
        <w:jc w:val="both"/>
      </w:pPr>
      <w:r>
        <w:rPr>
          <w:rFonts w:ascii="Times New Roman"/>
          <w:b w:val="false"/>
          <w:i w:val="false"/>
          <w:color w:val="000000"/>
          <w:sz w:val="28"/>
        </w:rPr>
        <w:t>
      9) требования к программно-техническому обеспечению, используемому для поддержания системы управления рисками.</w:t>
      </w:r>
    </w:p>
    <w:bookmarkStart w:name="z16" w:id="9"/>
    <w:p>
      <w:pPr>
        <w:spacing w:after="0"/>
        <w:ind w:left="0"/>
        <w:jc w:val="both"/>
      </w:pPr>
      <w:r>
        <w:rPr>
          <w:rFonts w:ascii="Times New Roman"/>
          <w:b w:val="false"/>
          <w:i w:val="false"/>
          <w:color w:val="000000"/>
          <w:sz w:val="28"/>
        </w:rPr>
        <w:t xml:space="preserve">
      3. Банки второго уровня, осуществляющие брокерскую 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w:t>
      </w:r>
    </w:p>
    <w:bookmarkEnd w:id="9"/>
    <w:bookmarkStart w:name="z615" w:id="10"/>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осуществление деятельности по управлению инвестиционным портфелем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10"/>
    <w:bookmarkStart w:name="z616" w:id="11"/>
    <w:p>
      <w:pPr>
        <w:spacing w:after="0"/>
        <w:ind w:left="0"/>
        <w:jc w:val="both"/>
      </w:pPr>
      <w:r>
        <w:rPr>
          <w:rFonts w:ascii="Times New Roman"/>
          <w:b w:val="false"/>
          <w:i w:val="false"/>
          <w:color w:val="000000"/>
          <w:sz w:val="28"/>
        </w:rPr>
        <w:t>
      Требования Правил распространяются на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 в части порядка принятия инвестиционных решений в отношении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порядка составления и содержания рекомендации и инвестиционного решения в отношении таких активов.</w:t>
      </w:r>
    </w:p>
    <w:bookmarkEnd w:id="11"/>
    <w:bookmarkStart w:name="z617" w:id="12"/>
    <w:p>
      <w:pPr>
        <w:spacing w:after="0"/>
        <w:ind w:left="0"/>
        <w:jc w:val="both"/>
      </w:pPr>
      <w:r>
        <w:rPr>
          <w:rFonts w:ascii="Times New Roman"/>
          <w:b w:val="false"/>
          <w:i w:val="false"/>
          <w:color w:val="000000"/>
          <w:sz w:val="28"/>
        </w:rPr>
        <w:t xml:space="preserve">
      Клиринговые организации, осуществляющие брокерскую и (или)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зарегистрированным в Реестре государственной регистрации нормативных правовых актов под № 7554.</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Брокер и (или) дилер или Управляющий, являющийся брокером и (или) дилером, выполняет требования, установленные абзацами восьмым, девятым и десятым подпункта 3) пункта 11, подпунктами 9) и 10) пункта 15, абзацами пятым, шестым и седьмым части второй пункта 28, пунктами 29 и 30, подпунктами 2), 8), 9) пункта 68, пунктами 73, 74, 76, 77, 78, 79 и 80 Правил, в случае исполнения клиентских заказов при отсутствии достаточного количества денег и (или) ценных бумаг у клиента на банковском и (или) лицевом счете данного брокера и (или) дилера или Управляющего, являющегося брокером и (или) дилером, для исполнения данного заказа.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Орган управления (наблюдательный совет - для брокера и (или) дилера, созданного в иной, помимо акционерного общества, организационно-правовой форме (далее - наблюдательный совет)) и исполнительный орган брокера и (или) дилера, Управляющего обеспечивают соответствие системы управления рисками требованиям Правил и создают условия для исполнения подразделениями и работниками брокера и (или) дилера, Управляющего возложенных на них обязанностей в области управления рисками.</w:t>
      </w:r>
    </w:p>
    <w:bookmarkEnd w:id="14"/>
    <w:bookmarkStart w:name="z19" w:id="15"/>
    <w:p>
      <w:pPr>
        <w:spacing w:after="0"/>
        <w:ind w:left="0"/>
        <w:jc w:val="both"/>
      </w:pPr>
      <w:r>
        <w:rPr>
          <w:rFonts w:ascii="Times New Roman"/>
          <w:b w:val="false"/>
          <w:i w:val="false"/>
          <w:color w:val="000000"/>
          <w:sz w:val="28"/>
        </w:rPr>
        <w:t>
      6. В Правилах используются следующие понятия:</w:t>
      </w:r>
    </w:p>
    <w:bookmarkEnd w:id="15"/>
    <w:bookmarkStart w:name="z463" w:id="16"/>
    <w:p>
      <w:pPr>
        <w:spacing w:after="0"/>
        <w:ind w:left="0"/>
        <w:jc w:val="both"/>
      </w:pPr>
      <w:r>
        <w:rPr>
          <w:rFonts w:ascii="Times New Roman"/>
          <w:b w:val="false"/>
          <w:i w:val="false"/>
          <w:color w:val="000000"/>
          <w:sz w:val="28"/>
        </w:rPr>
        <w:t>
      1) открытая валютная позиция - превышение требований (обязательств) в валюте отдельного иностранного государства (группы иностранных государств) над обязательствами (требованиями) в той же иностранной валюте;</w:t>
      </w:r>
    </w:p>
    <w:bookmarkEnd w:id="16"/>
    <w:bookmarkStart w:name="z464" w:id="17"/>
    <w:p>
      <w:pPr>
        <w:spacing w:after="0"/>
        <w:ind w:left="0"/>
        <w:jc w:val="both"/>
      </w:pP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p>
    <w:bookmarkEnd w:id="17"/>
    <w:bookmarkStart w:name="z465" w:id="18"/>
    <w:p>
      <w:pPr>
        <w:spacing w:after="0"/>
        <w:ind w:left="0"/>
        <w:jc w:val="both"/>
      </w:pPr>
      <w:r>
        <w:rPr>
          <w:rFonts w:ascii="Times New Roman"/>
          <w:b w:val="false"/>
          <w:i w:val="false"/>
          <w:color w:val="000000"/>
          <w:sz w:val="28"/>
        </w:rPr>
        <w:t>
      3) активы клиентов, принятые Управляющим в инвестиционное управление:</w:t>
      </w:r>
    </w:p>
    <w:bookmarkEnd w:id="18"/>
    <w:bookmarkStart w:name="z466" w:id="19"/>
    <w:p>
      <w:pPr>
        <w:spacing w:after="0"/>
        <w:ind w:left="0"/>
        <w:jc w:val="both"/>
      </w:pPr>
      <w:r>
        <w:rPr>
          <w:rFonts w:ascii="Times New Roman"/>
          <w:b w:val="false"/>
          <w:i w:val="false"/>
          <w:color w:val="000000"/>
          <w:sz w:val="28"/>
        </w:rPr>
        <w:t>
      деньги, ценные бумаги, финансовые инструменты и иное имущество физических и юридических лиц, принятые Управляющим в инвестиционное (доверительное) управление;</w:t>
      </w:r>
    </w:p>
    <w:bookmarkEnd w:id="19"/>
    <w:bookmarkStart w:name="z467" w:id="20"/>
    <w:p>
      <w:pPr>
        <w:spacing w:after="0"/>
        <w:ind w:left="0"/>
        <w:jc w:val="both"/>
      </w:pPr>
      <w:r>
        <w:rPr>
          <w:rFonts w:ascii="Times New Roman"/>
          <w:b w:val="false"/>
          <w:i w:val="false"/>
          <w:color w:val="000000"/>
          <w:sz w:val="28"/>
        </w:rPr>
        <w:t>
      активы инвестиционного фонда, принятого в управление Управляющим;</w:t>
      </w:r>
    </w:p>
    <w:bookmarkEnd w:id="20"/>
    <w:bookmarkStart w:name="z468" w:id="21"/>
    <w:p>
      <w:pPr>
        <w:spacing w:after="0"/>
        <w:ind w:left="0"/>
        <w:jc w:val="both"/>
      </w:pPr>
      <w:r>
        <w:rPr>
          <w:rFonts w:ascii="Times New Roman"/>
          <w:b w:val="false"/>
          <w:i w:val="false"/>
          <w:color w:val="000000"/>
          <w:sz w:val="28"/>
        </w:rPr>
        <w:t>
      пенсионные активы, находящиеся в управлении Управляющего, обладающего лицензией на осуществление деятельности по управлению инвестиционным портфелем с правом привлечения добровольных накопительных пенсионных взносов;</w:t>
      </w:r>
    </w:p>
    <w:bookmarkEnd w:id="21"/>
    <w:bookmarkStart w:name="z469" w:id="22"/>
    <w:p>
      <w:pPr>
        <w:spacing w:after="0"/>
        <w:ind w:left="0"/>
        <w:jc w:val="both"/>
      </w:pPr>
      <w:r>
        <w:rPr>
          <w:rFonts w:ascii="Times New Roman"/>
          <w:b w:val="false"/>
          <w:i w:val="false"/>
          <w:color w:val="000000"/>
          <w:sz w:val="28"/>
        </w:rPr>
        <w:t xml:space="preserve">
      пенсионные активы единого накопительного пенсионного фонда, находящиеся в доверительном управлении Управляющего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пенсионные активы, находящиеся в доверительном управлении);</w:t>
      </w:r>
    </w:p>
    <w:bookmarkEnd w:id="22"/>
    <w:bookmarkStart w:name="z470" w:id="23"/>
    <w:p>
      <w:pPr>
        <w:spacing w:after="0"/>
        <w:ind w:left="0"/>
        <w:jc w:val="both"/>
      </w:pPr>
      <w:r>
        <w:rPr>
          <w:rFonts w:ascii="Times New Roman"/>
          <w:b w:val="false"/>
          <w:i w:val="false"/>
          <w:color w:val="000000"/>
          <w:sz w:val="28"/>
        </w:rPr>
        <w:t>
      4) репутационный риск - риск возникновения расходов (убытков) вследствие негативного общественного мнения или снижения доверия к брокеру и (или) дилеру, Управляющему;</w:t>
      </w:r>
    </w:p>
    <w:bookmarkEnd w:id="23"/>
    <w:bookmarkStart w:name="z471" w:id="24"/>
    <w:p>
      <w:pPr>
        <w:spacing w:after="0"/>
        <w:ind w:left="0"/>
        <w:jc w:val="both"/>
      </w:pPr>
      <w:r>
        <w:rPr>
          <w:rFonts w:ascii="Times New Roman"/>
          <w:b w:val="false"/>
          <w:i w:val="false"/>
          <w:color w:val="000000"/>
          <w:sz w:val="28"/>
        </w:rPr>
        <w:t>
      5) бэк-тестинг - методы проверки эффективности процедур измерения рисков с использованием исторических данных и сравнением рассчитанных результатов с текущими (фактическими) результатами от совершения указанных операций;</w:t>
      </w:r>
    </w:p>
    <w:bookmarkEnd w:id="24"/>
    <w:bookmarkStart w:name="z472" w:id="25"/>
    <w:p>
      <w:pPr>
        <w:spacing w:after="0"/>
        <w:ind w:left="0"/>
        <w:jc w:val="both"/>
      </w:pPr>
      <w:r>
        <w:rPr>
          <w:rFonts w:ascii="Times New Roman"/>
          <w:b w:val="false"/>
          <w:i w:val="false"/>
          <w:color w:val="000000"/>
          <w:sz w:val="28"/>
        </w:rPr>
        <w:t>
      6) валютный риск - риск возникновения расходов (убытков), связанный с изменением курсов иностранных валют. Опасность расходов (убытков) возникает из-за переоценки позиций по валютам в стоимостном выражении;</w:t>
      </w:r>
    </w:p>
    <w:bookmarkEnd w:id="25"/>
    <w:bookmarkStart w:name="z473" w:id="26"/>
    <w:p>
      <w:pPr>
        <w:spacing w:after="0"/>
        <w:ind w:left="0"/>
        <w:jc w:val="both"/>
      </w:pPr>
      <w:r>
        <w:rPr>
          <w:rFonts w:ascii="Times New Roman"/>
          <w:b w:val="false"/>
          <w:i w:val="false"/>
          <w:color w:val="000000"/>
          <w:sz w:val="28"/>
        </w:rPr>
        <w:t>
      7) гэп-позиция - разница между активами клиента и обязательствами по активам клиента, переданным в инвестиционное управление либо на брокерское обслуживание, в зависимости от сроков исполнения данных обязательств, или разница между собственными ликвидными активами и обязательствами брокера и (или) дилера, Управляющего в зависимости от сроков исполнения данных обязательств;</w:t>
      </w:r>
    </w:p>
    <w:bookmarkEnd w:id="26"/>
    <w:bookmarkStart w:name="z474" w:id="27"/>
    <w:p>
      <w:pPr>
        <w:spacing w:after="0"/>
        <w:ind w:left="0"/>
        <w:jc w:val="both"/>
      </w:pPr>
      <w:r>
        <w:rPr>
          <w:rFonts w:ascii="Times New Roman"/>
          <w:b w:val="false"/>
          <w:i w:val="false"/>
          <w:color w:val="000000"/>
          <w:sz w:val="28"/>
        </w:rPr>
        <w:t>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p>
    <w:bookmarkEnd w:id="27"/>
    <w:bookmarkStart w:name="z475" w:id="28"/>
    <w:p>
      <w:pPr>
        <w:spacing w:after="0"/>
        <w:ind w:left="0"/>
        <w:jc w:val="both"/>
      </w:pPr>
      <w:r>
        <w:rPr>
          <w:rFonts w:ascii="Times New Roman"/>
          <w:b w:val="false"/>
          <w:i w:val="false"/>
          <w:color w:val="000000"/>
          <w:sz w:val="28"/>
        </w:rPr>
        <w:t>
      9) служба внутреннего аудита - подразделение брокера и (или) дилера, Управляющего, основной функцией которого является контроль за финансово-хозяйственной деятельностью брокера и (или) дилера, Управляющего;</w:t>
      </w:r>
    </w:p>
    <w:bookmarkEnd w:id="28"/>
    <w:bookmarkStart w:name="z476" w:id="29"/>
    <w:p>
      <w:pPr>
        <w:spacing w:after="0"/>
        <w:ind w:left="0"/>
        <w:jc w:val="both"/>
      </w:pPr>
      <w:r>
        <w:rPr>
          <w:rFonts w:ascii="Times New Roman"/>
          <w:b w:val="false"/>
          <w:i w:val="false"/>
          <w:color w:val="000000"/>
          <w:sz w:val="28"/>
        </w:rPr>
        <w:t>
      10) система внутреннего контроля - совокупность процедур и политик внутреннего контроля, обеспечивающих реализацию брокером и (или) дилером, Управляющим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о рынке ценных бумаг и инвестиционных фондах, политики брокера и (или) дилера, Управляющего, внутренних правил и процедур, снижению риска убытков или репутационного риска брокера и (или) дилера, Управляющего;</w:t>
      </w:r>
    </w:p>
    <w:bookmarkEnd w:id="29"/>
    <w:bookmarkStart w:name="z477" w:id="30"/>
    <w:p>
      <w:pPr>
        <w:spacing w:after="0"/>
        <w:ind w:left="0"/>
        <w:jc w:val="both"/>
      </w:pPr>
      <w:r>
        <w:rPr>
          <w:rFonts w:ascii="Times New Roman"/>
          <w:b w:val="false"/>
          <w:i w:val="false"/>
          <w:color w:val="000000"/>
          <w:sz w:val="28"/>
        </w:rPr>
        <w:t>
      11) внутренние документы - документы, регулирующие условия и порядок деятельности брокера и (или) дилера, Управляющего, их органов, структурных подразделений (филиалов, представительств), работников;</w:t>
      </w:r>
    </w:p>
    <w:bookmarkEnd w:id="30"/>
    <w:bookmarkStart w:name="z478" w:id="31"/>
    <w:p>
      <w:pPr>
        <w:spacing w:after="0"/>
        <w:ind w:left="0"/>
        <w:jc w:val="both"/>
      </w:pPr>
      <w:r>
        <w:rPr>
          <w:rFonts w:ascii="Times New Roman"/>
          <w:b w:val="false"/>
          <w:i w:val="false"/>
          <w:color w:val="000000"/>
          <w:sz w:val="28"/>
        </w:rPr>
        <w:t>
      12) корпоративное управление - система стратегического и тактического управления брокером и (или) дилером, Управляющим, представляющая собой комплекс взаимоотношений между высшим органом, органом управления (наблюдательным советом), исполнительным органом и иными органами брокера и (или) дилера, Управляющего, направленный на обеспечение эффективного функционирования организации, защиту прав и интересов ее акционеров (участников) и предоставляющая акционерам (участникам) возможность эффективного контроля и мониторинга деятельности брокера и (или) дилера, Управляющего;</w:t>
      </w:r>
    </w:p>
    <w:bookmarkEnd w:id="31"/>
    <w:bookmarkStart w:name="z479" w:id="32"/>
    <w:p>
      <w:pPr>
        <w:spacing w:after="0"/>
        <w:ind w:left="0"/>
        <w:jc w:val="both"/>
      </w:pPr>
      <w:r>
        <w:rPr>
          <w:rFonts w:ascii="Times New Roman"/>
          <w:b w:val="false"/>
          <w:i w:val="false"/>
          <w:color w:val="000000"/>
          <w:sz w:val="28"/>
        </w:rPr>
        <w:t>
      13) кредитный риск - риск возникновения расходов (убытков) вследствие неуплаты или несвоевременной оплаты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либо вследствие невыполнения или несвоевременного выполнения контрпартнером или клиентом своих обязательств, предусмотренных договором или возникших в ходе заключения сделки;</w:t>
      </w:r>
    </w:p>
    <w:bookmarkEnd w:id="32"/>
    <w:bookmarkStart w:name="z480" w:id="33"/>
    <w:p>
      <w:pPr>
        <w:spacing w:after="0"/>
        <w:ind w:left="0"/>
        <w:jc w:val="both"/>
      </w:pPr>
      <w:r>
        <w:rPr>
          <w:rFonts w:ascii="Times New Roman"/>
          <w:b w:val="false"/>
          <w:i w:val="false"/>
          <w:color w:val="000000"/>
          <w:sz w:val="28"/>
        </w:rPr>
        <w:t>
      14) контрпартнер - юридическое лицо, оказывающее услуги брокеру и (или) дилеру, Управляющему в процессе заключения сделок с финансовыми инструментами, совершаемых за счет активов клиентов и (или) собственных активов брокера и (или) дилера, Управляющего,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p>
    <w:bookmarkEnd w:id="33"/>
    <w:bookmarkStart w:name="z481" w:id="34"/>
    <w:p>
      <w:pPr>
        <w:spacing w:after="0"/>
        <w:ind w:left="0"/>
        <w:jc w:val="both"/>
      </w:pPr>
      <w:r>
        <w:rPr>
          <w:rFonts w:ascii="Times New Roman"/>
          <w:b w:val="false"/>
          <w:i w:val="false"/>
          <w:color w:val="000000"/>
          <w:sz w:val="28"/>
        </w:rPr>
        <w:t>
      15) правовой риск - риск возникновения расходов (убытков) вследствие нарушения брокером и (или) дилером, Управляющим требований законодательства Республики Казахстан о рынке ценных бумаг и инвестиционных фондах либо несоответствия практики брокера и (или) дилера, Управляющего их внутренним документам, а в отношениях с нерезидентами Республики Казахстан - законодательства других государств;</w:t>
      </w:r>
    </w:p>
    <w:bookmarkEnd w:id="34"/>
    <w:bookmarkStart w:name="z482" w:id="35"/>
    <w:p>
      <w:pPr>
        <w:spacing w:after="0"/>
        <w:ind w:left="0"/>
        <w:jc w:val="both"/>
      </w:pPr>
      <w:r>
        <w:rPr>
          <w:rFonts w:ascii="Times New Roman"/>
          <w:b w:val="false"/>
          <w:i w:val="false"/>
          <w:color w:val="000000"/>
          <w:sz w:val="28"/>
        </w:rPr>
        <w:t>
      16)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брокера и (или) дилера, Управляющего, условия хеджирования и диверсификации собственных активов;</w:t>
      </w:r>
    </w:p>
    <w:bookmarkEnd w:id="35"/>
    <w:bookmarkStart w:name="z483" w:id="36"/>
    <w:p>
      <w:pPr>
        <w:spacing w:after="0"/>
        <w:ind w:left="0"/>
        <w:jc w:val="both"/>
      </w:pPr>
      <w:r>
        <w:rPr>
          <w:rFonts w:ascii="Times New Roman"/>
          <w:b w:val="false"/>
          <w:i w:val="false"/>
          <w:color w:val="000000"/>
          <w:sz w:val="28"/>
        </w:rPr>
        <w:t>
      17) управление конфликтом интересов - создание механизмов недопущения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p>
    <w:bookmarkEnd w:id="36"/>
    <w:bookmarkStart w:name="z484" w:id="37"/>
    <w:p>
      <w:pPr>
        <w:spacing w:after="0"/>
        <w:ind w:left="0"/>
        <w:jc w:val="both"/>
      </w:pPr>
      <w:r>
        <w:rPr>
          <w:rFonts w:ascii="Times New Roman"/>
          <w:b w:val="false"/>
          <w:i w:val="false"/>
          <w:color w:val="000000"/>
          <w:sz w:val="28"/>
        </w:rPr>
        <w:t>
      18) рыночный риск - риск возникновения расходов (убытков), связанных с неблагоприятной ситуацией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p>
    <w:bookmarkEnd w:id="37"/>
    <w:bookmarkStart w:name="z485" w:id="38"/>
    <w:p>
      <w:pPr>
        <w:spacing w:after="0"/>
        <w:ind w:left="0"/>
        <w:jc w:val="both"/>
      </w:pPr>
      <w:r>
        <w:rPr>
          <w:rFonts w:ascii="Times New Roman"/>
          <w:b w:val="false"/>
          <w:i w:val="false"/>
          <w:color w:val="000000"/>
          <w:sz w:val="28"/>
        </w:rPr>
        <w:t>
      19)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p>
    <w:bookmarkEnd w:id="38"/>
    <w:bookmarkStart w:name="z486" w:id="39"/>
    <w:p>
      <w:pPr>
        <w:spacing w:after="0"/>
        <w:ind w:left="0"/>
        <w:jc w:val="both"/>
      </w:pPr>
      <w:r>
        <w:rPr>
          <w:rFonts w:ascii="Times New Roman"/>
          <w:b w:val="false"/>
          <w:i w:val="false"/>
          <w:color w:val="000000"/>
          <w:sz w:val="28"/>
        </w:rPr>
        <w:t>
      неопределенной и неэффективной организационной структурой брокера и (или) дилера, Управляющего, включая распределение ответственности, структуру подотчетности и управления;</w:t>
      </w:r>
    </w:p>
    <w:bookmarkEnd w:id="39"/>
    <w:bookmarkStart w:name="z487" w:id="40"/>
    <w:p>
      <w:pPr>
        <w:spacing w:after="0"/>
        <w:ind w:left="0"/>
        <w:jc w:val="both"/>
      </w:pP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40"/>
    <w:bookmarkStart w:name="z488" w:id="41"/>
    <w:p>
      <w:pPr>
        <w:spacing w:after="0"/>
        <w:ind w:left="0"/>
        <w:jc w:val="both"/>
      </w:pPr>
      <w:r>
        <w:rPr>
          <w:rFonts w:ascii="Times New Roman"/>
          <w:b w:val="false"/>
          <w:i w:val="false"/>
          <w:color w:val="000000"/>
          <w:sz w:val="28"/>
        </w:rPr>
        <w:t>
      не соответствующей действительности информацией либо ее несоответствующим использованием;</w:t>
      </w:r>
    </w:p>
    <w:bookmarkEnd w:id="41"/>
    <w:bookmarkStart w:name="z489" w:id="42"/>
    <w:p>
      <w:pPr>
        <w:spacing w:after="0"/>
        <w:ind w:left="0"/>
        <w:jc w:val="both"/>
      </w:pPr>
      <w:r>
        <w:rPr>
          <w:rFonts w:ascii="Times New Roman"/>
          <w:b w:val="false"/>
          <w:i w:val="false"/>
          <w:color w:val="000000"/>
          <w:sz w:val="28"/>
        </w:rPr>
        <w:t>
      неэффективным управлением персоналом и (или) неквалифицированным штатом брокера и (или) дилера, Управляющего;</w:t>
      </w:r>
    </w:p>
    <w:bookmarkEnd w:id="42"/>
    <w:bookmarkStart w:name="z490" w:id="43"/>
    <w:p>
      <w:pPr>
        <w:spacing w:after="0"/>
        <w:ind w:left="0"/>
        <w:jc w:val="both"/>
      </w:pPr>
      <w:r>
        <w:rPr>
          <w:rFonts w:ascii="Times New Roman"/>
          <w:b w:val="false"/>
          <w:i w:val="false"/>
          <w:color w:val="000000"/>
          <w:sz w:val="28"/>
        </w:rPr>
        <w:t>
      недостаточно эффективным построением процессов осуществления деятельности брокера и (или) дилера, Управляющего либо слабым контролем соблюдения внутренних правил;</w:t>
      </w:r>
    </w:p>
    <w:bookmarkEnd w:id="43"/>
    <w:bookmarkStart w:name="z491" w:id="44"/>
    <w:p>
      <w:pPr>
        <w:spacing w:after="0"/>
        <w:ind w:left="0"/>
        <w:jc w:val="both"/>
      </w:pPr>
      <w:r>
        <w:rPr>
          <w:rFonts w:ascii="Times New Roman"/>
          <w:b w:val="false"/>
          <w:i w:val="false"/>
          <w:color w:val="000000"/>
          <w:sz w:val="28"/>
        </w:rPr>
        <w:t>
      непредвиденными или неконтролируемыми факторами внешнего воздействия на деятельность брокера и (или) дилера, Управляющего;</w:t>
      </w:r>
    </w:p>
    <w:bookmarkEnd w:id="44"/>
    <w:bookmarkStart w:name="z492" w:id="45"/>
    <w:p>
      <w:pPr>
        <w:spacing w:after="0"/>
        <w:ind w:left="0"/>
        <w:jc w:val="both"/>
      </w:pP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брокера и (или) дилера, Управляющего;</w:t>
      </w:r>
    </w:p>
    <w:bookmarkEnd w:id="45"/>
    <w:bookmarkStart w:name="z493" w:id="46"/>
    <w:p>
      <w:pPr>
        <w:spacing w:after="0"/>
        <w:ind w:left="0"/>
        <w:jc w:val="both"/>
      </w:pPr>
      <w:r>
        <w:rPr>
          <w:rFonts w:ascii="Times New Roman"/>
          <w:b w:val="false"/>
          <w:i w:val="false"/>
          <w:color w:val="000000"/>
          <w:sz w:val="28"/>
        </w:rPr>
        <w:t>
      непрофессиональными действиями руководства и персонала брокера и (или) дилера, Управляющего, повлекшими за собой сужение клиентской базы, недоверие или негативное восприятие брокера и (или) дилера, Управляющего клиентами и (или) контрпартнерами;</w:t>
      </w:r>
    </w:p>
    <w:bookmarkEnd w:id="46"/>
    <w:bookmarkStart w:name="z494" w:id="47"/>
    <w:p>
      <w:pPr>
        <w:spacing w:after="0"/>
        <w:ind w:left="0"/>
        <w:jc w:val="both"/>
      </w:pPr>
      <w:r>
        <w:rPr>
          <w:rFonts w:ascii="Times New Roman"/>
          <w:b w:val="false"/>
          <w:i w:val="false"/>
          <w:color w:val="000000"/>
          <w:sz w:val="28"/>
        </w:rPr>
        <w:t>
      20) риск потери ликвидности - риск, связанный с возможным невыполнением либо несвоевременным выполнением обязательств. Риск потери ликвидности ценных бумаг как активов определяется возможностью их быстрой реализации с низкими издержками и по приемлемым ценам;</w:t>
      </w:r>
    </w:p>
    <w:bookmarkEnd w:id="47"/>
    <w:bookmarkStart w:name="z495" w:id="48"/>
    <w:p>
      <w:pPr>
        <w:spacing w:after="0"/>
        <w:ind w:left="0"/>
        <w:jc w:val="both"/>
      </w:pPr>
      <w:r>
        <w:rPr>
          <w:rFonts w:ascii="Times New Roman"/>
          <w:b w:val="false"/>
          <w:i w:val="false"/>
          <w:color w:val="000000"/>
          <w:sz w:val="28"/>
        </w:rPr>
        <w:t>
      21)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p>
    <w:bookmarkEnd w:id="48"/>
    <w:bookmarkStart w:name="z496" w:id="49"/>
    <w:p>
      <w:pPr>
        <w:spacing w:after="0"/>
        <w:ind w:left="0"/>
        <w:jc w:val="both"/>
      </w:pP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p>
    <w:bookmarkEnd w:id="49"/>
    <w:bookmarkStart w:name="z497" w:id="50"/>
    <w:p>
      <w:pPr>
        <w:spacing w:after="0"/>
        <w:ind w:left="0"/>
        <w:jc w:val="both"/>
      </w:pP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p>
    <w:bookmarkEnd w:id="50"/>
    <w:bookmarkStart w:name="z498" w:id="51"/>
    <w:p>
      <w:pPr>
        <w:spacing w:after="0"/>
        <w:ind w:left="0"/>
        <w:jc w:val="both"/>
      </w:pPr>
      <w:r>
        <w:rPr>
          <w:rFonts w:ascii="Times New Roman"/>
          <w:b w:val="false"/>
          <w:i w:val="false"/>
          <w:color w:val="000000"/>
          <w:sz w:val="28"/>
        </w:rPr>
        <w:t>
      22) стресс-тестинг - методы измерения потенциального влияния на финансовое положение юридического или физического лица исключительных, но возможных событий, которые могут оказать влияние на деятельность юридического или физического лица;</w:t>
      </w:r>
    </w:p>
    <w:bookmarkEnd w:id="51"/>
    <w:bookmarkStart w:name="z499" w:id="52"/>
    <w:p>
      <w:pPr>
        <w:spacing w:after="0"/>
        <w:ind w:left="0"/>
        <w:jc w:val="both"/>
      </w:pPr>
      <w:r>
        <w:rPr>
          <w:rFonts w:ascii="Times New Roman"/>
          <w:b w:val="false"/>
          <w:i w:val="false"/>
          <w:color w:val="000000"/>
          <w:sz w:val="28"/>
        </w:rPr>
        <w:t>
      23) система управления рисками - процесс, включающий четыре основных элемента: оценка риска, измерение риска, контроль риска и мониторинг риска;</w:t>
      </w:r>
    </w:p>
    <w:bookmarkEnd w:id="52"/>
    <w:bookmarkStart w:name="z500" w:id="53"/>
    <w:p>
      <w:pPr>
        <w:spacing w:after="0"/>
        <w:ind w:left="0"/>
        <w:jc w:val="both"/>
      </w:pPr>
      <w:r>
        <w:rPr>
          <w:rFonts w:ascii="Times New Roman"/>
          <w:b w:val="false"/>
          <w:i w:val="false"/>
          <w:color w:val="000000"/>
          <w:sz w:val="28"/>
        </w:rPr>
        <w:t>
      24) риск неплатежеспособности - риск неисполнения клиентом брокера и (или) дилера или Управляющего, являющегося брокером и (или) дилером, с которым заключен договор на брокерское обслуживание, обязательств по поставке денег и (или) ценных бумаг, возникших в результате заключения сделки;</w:t>
      </w:r>
    </w:p>
    <w:bookmarkEnd w:id="53"/>
    <w:bookmarkStart w:name="z501" w:id="54"/>
    <w:p>
      <w:pPr>
        <w:spacing w:after="0"/>
        <w:ind w:left="0"/>
        <w:jc w:val="both"/>
      </w:pPr>
      <w:r>
        <w:rPr>
          <w:rFonts w:ascii="Times New Roman"/>
          <w:b w:val="false"/>
          <w:i w:val="false"/>
          <w:color w:val="000000"/>
          <w:sz w:val="28"/>
        </w:rPr>
        <w:t>
      25) форс-мажорное обстоятельство - чрезвычайное и непредотвратимое (при данных условиях) событие (непреодолимая сила);</w:t>
      </w:r>
    </w:p>
    <w:bookmarkEnd w:id="54"/>
    <w:bookmarkStart w:name="z502" w:id="55"/>
    <w:p>
      <w:pPr>
        <w:spacing w:after="0"/>
        <w:ind w:left="0"/>
        <w:jc w:val="both"/>
      </w:pPr>
      <w:r>
        <w:rPr>
          <w:rFonts w:ascii="Times New Roman"/>
          <w:b w:val="false"/>
          <w:i w:val="false"/>
          <w:color w:val="000000"/>
          <w:sz w:val="28"/>
        </w:rPr>
        <w:t>
      26) лимиты "stop-loss" - предельно допустимый уровень потерь по операциям с финансовыми инструментами;</w:t>
      </w:r>
    </w:p>
    <w:bookmarkEnd w:id="55"/>
    <w:bookmarkStart w:name="z503" w:id="56"/>
    <w:p>
      <w:pPr>
        <w:spacing w:after="0"/>
        <w:ind w:left="0"/>
        <w:jc w:val="both"/>
      </w:pPr>
      <w:r>
        <w:rPr>
          <w:rFonts w:ascii="Times New Roman"/>
          <w:b w:val="false"/>
          <w:i w:val="false"/>
          <w:color w:val="000000"/>
          <w:sz w:val="28"/>
        </w:rPr>
        <w:t>
      27) лимиты "take profit" - предельно допустимый уровень доходов по операциям с финансовыми инструментами;</w:t>
      </w:r>
    </w:p>
    <w:bookmarkEnd w:id="56"/>
    <w:bookmarkStart w:name="z504" w:id="57"/>
    <w:p>
      <w:pPr>
        <w:spacing w:after="0"/>
        <w:ind w:left="0"/>
        <w:jc w:val="both"/>
      </w:pPr>
      <w:r>
        <w:rPr>
          <w:rFonts w:ascii="Times New Roman"/>
          <w:b w:val="false"/>
          <w:i w:val="false"/>
          <w:color w:val="000000"/>
          <w:sz w:val="28"/>
        </w:rPr>
        <w:t>
      28) VAR (Value at Risk) модель - модель, характеризующая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xml:space="preserve">
      7. Брокеры и (или) дилеры, Управляющие ежегодно не позднее 1 июля года, следующего за отчетным, представляют в уполномоченный орган отчет по оценке выполнения требований к системе управления рисками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который содержит:</w:t>
      </w:r>
    </w:p>
    <w:bookmarkEnd w:id="58"/>
    <w:p>
      <w:pPr>
        <w:spacing w:after="0"/>
        <w:ind w:left="0"/>
        <w:jc w:val="both"/>
      </w:pPr>
      <w:r>
        <w:rPr>
          <w:rFonts w:ascii="Times New Roman"/>
          <w:b w:val="false"/>
          <w:i w:val="false"/>
          <w:color w:val="000000"/>
          <w:sz w:val="28"/>
        </w:rPr>
        <w:t>
      1) полный перечень требований к системе управления рисками;</w:t>
      </w:r>
    </w:p>
    <w:p>
      <w:pPr>
        <w:spacing w:after="0"/>
        <w:ind w:left="0"/>
        <w:jc w:val="both"/>
      </w:pP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p>
    <w:p>
      <w:pPr>
        <w:spacing w:after="0"/>
        <w:ind w:left="0"/>
        <w:jc w:val="both"/>
      </w:pP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9"/>
    <w:p>
      <w:pPr>
        <w:spacing w:after="0"/>
        <w:ind w:left="0"/>
        <w:jc w:val="both"/>
      </w:pPr>
      <w:r>
        <w:rPr>
          <w:rFonts w:ascii="Times New Roman"/>
          <w:b w:val="false"/>
          <w:i w:val="false"/>
          <w:color w:val="000000"/>
          <w:sz w:val="28"/>
        </w:rPr>
        <w:t>
      7-1. Уполномоченный орган в рамках оценки эффективности системы управления рисками и внутреннего контроля брокера и (или) дилера, Управляющего руководствуется следующими принципами:</w:t>
      </w:r>
    </w:p>
    <w:bookmarkEnd w:id="59"/>
    <w:bookmarkStart w:name="z585" w:id="60"/>
    <w:p>
      <w:pPr>
        <w:spacing w:after="0"/>
        <w:ind w:left="0"/>
        <w:jc w:val="both"/>
      </w:pPr>
      <w:r>
        <w:rPr>
          <w:rFonts w:ascii="Times New Roman"/>
          <w:b w:val="false"/>
          <w:i w:val="false"/>
          <w:color w:val="000000"/>
          <w:sz w:val="28"/>
        </w:rPr>
        <w:t>
      1) преобладание сущности над формой, выражающееся в оценке системы управления рисками как механизма измерения и оценки, мониторинга, контроля, и минимизации рисков, а не формально регламентированных процедур и соблюдения требований законодательства Республики Казахстан;</w:t>
      </w:r>
    </w:p>
    <w:bookmarkEnd w:id="60"/>
    <w:bookmarkStart w:name="z586" w:id="61"/>
    <w:p>
      <w:pPr>
        <w:spacing w:after="0"/>
        <w:ind w:left="0"/>
        <w:jc w:val="both"/>
      </w:pPr>
      <w:r>
        <w:rPr>
          <w:rFonts w:ascii="Times New Roman"/>
          <w:b w:val="false"/>
          <w:i w:val="false"/>
          <w:color w:val="000000"/>
          <w:sz w:val="28"/>
        </w:rPr>
        <w:t>
      2)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бизнес модели, масштаба деятельности, видов и сложности операций и в зависимости от принимаемых на себя рисков.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2"/>
    <w:p>
      <w:pPr>
        <w:spacing w:after="0"/>
        <w:ind w:left="0"/>
        <w:jc w:val="both"/>
      </w:pPr>
      <w:r>
        <w:rPr>
          <w:rFonts w:ascii="Times New Roman"/>
          <w:b w:val="false"/>
          <w:i w:val="false"/>
          <w:color w:val="000000"/>
          <w:sz w:val="28"/>
        </w:rPr>
        <w:t>
      8. Стресс-тестинг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не реже одного раза в полгода.</w:t>
      </w:r>
    </w:p>
    <w:bookmarkEnd w:id="62"/>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оформляются в соответствии с внутренними документами Управляющего и брокера и (или) дилера, являющегося Управляющим, и содержат следующую информацию:</w:t>
      </w:r>
    </w:p>
    <w:p>
      <w:pPr>
        <w:spacing w:after="0"/>
        <w:ind w:left="0"/>
        <w:jc w:val="both"/>
      </w:pPr>
      <w:r>
        <w:rPr>
          <w:rFonts w:ascii="Times New Roman"/>
          <w:b w:val="false"/>
          <w:i w:val="false"/>
          <w:color w:val="000000"/>
          <w:sz w:val="28"/>
        </w:rPr>
        <w:t>
      описание сценария стресс-теста;</w:t>
      </w:r>
    </w:p>
    <w:p>
      <w:pPr>
        <w:spacing w:after="0"/>
        <w:ind w:left="0"/>
        <w:jc w:val="both"/>
      </w:pPr>
      <w:r>
        <w:rPr>
          <w:rFonts w:ascii="Times New Roman"/>
          <w:b w:val="false"/>
          <w:i w:val="false"/>
          <w:color w:val="000000"/>
          <w:sz w:val="28"/>
        </w:rPr>
        <w:t>
      обоснование выбранного сценария стресс-теста;</w:t>
      </w:r>
    </w:p>
    <w:p>
      <w:pPr>
        <w:spacing w:after="0"/>
        <w:ind w:left="0"/>
        <w:jc w:val="both"/>
      </w:pPr>
      <w:r>
        <w:rPr>
          <w:rFonts w:ascii="Times New Roman"/>
          <w:b w:val="false"/>
          <w:i w:val="false"/>
          <w:color w:val="000000"/>
          <w:sz w:val="28"/>
        </w:rPr>
        <w:t>
      рекомендации по результатам стресс-тестинга.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63"/>
    <w:p>
      <w:pPr>
        <w:spacing w:after="0"/>
        <w:ind w:left="0"/>
        <w:jc w:val="both"/>
      </w:pPr>
      <w:r>
        <w:rPr>
          <w:rFonts w:ascii="Times New Roman"/>
          <w:b w:val="false"/>
          <w:i w:val="false"/>
          <w:color w:val="000000"/>
          <w:sz w:val="28"/>
        </w:rPr>
        <w:t>
      9-1. Управляющий, брокер и (или) дилер, являющийся Управляющим, обеспечивают резервирование и хранение информации, изложенной в пункте 8 Правил, на бумажном носителе и (или) в форме электронного документа, обеспечивающих конфиденциальность и некорректируемость данных.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64"/>
    <w:p>
      <w:pPr>
        <w:spacing w:after="0"/>
        <w:ind w:left="0"/>
        <w:jc w:val="both"/>
      </w:pPr>
      <w:r>
        <w:rPr>
          <w:rFonts w:ascii="Times New Roman"/>
          <w:b w:val="false"/>
          <w:i w:val="false"/>
          <w:color w:val="000000"/>
          <w:sz w:val="28"/>
        </w:rPr>
        <w:t>
      9-2. В случае привлечения крупных участников, руководящих работников брокера и (или) дилера, Управляющего к уголовной ответственности брокер и (или) дилер, Управляющий уведомляет уполномоченный орган в течение пяти рабочих дней со дня, когда данная информация стала известна брокеру и (или) дилеру, Управляющему.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5"/>
    <w:p>
      <w:pPr>
        <w:spacing w:after="0"/>
        <w:ind w:left="0"/>
        <w:jc w:val="both"/>
      </w:pPr>
      <w:r>
        <w:rPr>
          <w:rFonts w:ascii="Times New Roman"/>
          <w:b w:val="false"/>
          <w:i w:val="false"/>
          <w:color w:val="000000"/>
          <w:sz w:val="28"/>
        </w:rPr>
        <w:t>
      9-3. Реклама, связанная с лицензируемым видом деятельности брокера и (или) дилера, Управляющего, подлежит утверждению исполнительным органом брокера и (или) дилера, Управляющего.</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9-3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6"/>
    <w:p>
      <w:pPr>
        <w:spacing w:after="0"/>
        <w:ind w:left="0"/>
        <w:jc w:val="left"/>
      </w:pPr>
      <w:r>
        <w:rPr>
          <w:rFonts w:ascii="Times New Roman"/>
          <w:b/>
          <w:i w:val="false"/>
          <w:color w:val="000000"/>
        </w:rPr>
        <w:t xml:space="preserve">  Глава 2. Базовые требования к наличию системы управления рисками</w:t>
      </w:r>
    </w:p>
    <w:bookmarkEnd w:id="66"/>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7"/>
    <w:p>
      <w:pPr>
        <w:spacing w:after="0"/>
        <w:ind w:left="0"/>
        <w:jc w:val="both"/>
      </w:pPr>
      <w:r>
        <w:rPr>
          <w:rFonts w:ascii="Times New Roman"/>
          <w:b w:val="false"/>
          <w:i w:val="false"/>
          <w:color w:val="000000"/>
          <w:sz w:val="28"/>
        </w:rPr>
        <w:t>
      10. Наличие системы управления рисками в брокере и (или) дилере, Управляющем предусматривает соответствие деятельности брокера и (или) дилера, Управляющего требованиям по корпоративному управлению, наличию практики проведения операций в рамках лицензируемого вида деятельности, практики управления активами и обязательствами, функционированию информационных систем и систем управленческой информации.</w:t>
      </w:r>
    </w:p>
    <w:bookmarkEnd w:id="67"/>
    <w:bookmarkStart w:name="z53" w:id="68"/>
    <w:p>
      <w:pPr>
        <w:spacing w:after="0"/>
        <w:ind w:left="0"/>
        <w:jc w:val="both"/>
      </w:pPr>
      <w:r>
        <w:rPr>
          <w:rFonts w:ascii="Times New Roman"/>
          <w:b w:val="false"/>
          <w:i w:val="false"/>
          <w:color w:val="000000"/>
          <w:sz w:val="28"/>
        </w:rPr>
        <w:t>
      11. Система управления рисками брокера и (или) дилера охватывает следующие направления его деятельности:</w:t>
      </w:r>
    </w:p>
    <w:bookmarkEnd w:id="68"/>
    <w:p>
      <w:pPr>
        <w:spacing w:after="0"/>
        <w:ind w:left="0"/>
        <w:jc w:val="both"/>
      </w:pPr>
      <w:r>
        <w:rPr>
          <w:rFonts w:ascii="Times New Roman"/>
          <w:b w:val="false"/>
          <w:i w:val="false"/>
          <w:color w:val="000000"/>
          <w:sz w:val="28"/>
        </w:rPr>
        <w:t>
      1) проведение регулярного анализа основных показателей рынка ценных бумаг и прогнозирование их изменений с учетом влияния макро- и микроэкономических факторов;</w:t>
      </w:r>
    </w:p>
    <w:p>
      <w:pPr>
        <w:spacing w:after="0"/>
        <w:ind w:left="0"/>
        <w:jc w:val="both"/>
      </w:pPr>
      <w:r>
        <w:rPr>
          <w:rFonts w:ascii="Times New Roman"/>
          <w:b w:val="false"/>
          <w:i w:val="false"/>
          <w:color w:val="000000"/>
          <w:sz w:val="28"/>
        </w:rPr>
        <w:t>
      2) разработка и утверждение политики инвестирования собственных активов;</w:t>
      </w:r>
    </w:p>
    <w:p>
      <w:pPr>
        <w:spacing w:after="0"/>
        <w:ind w:left="0"/>
        <w:jc w:val="both"/>
      </w:pPr>
      <w:r>
        <w:rPr>
          <w:rFonts w:ascii="Times New Roman"/>
          <w:b w:val="false"/>
          <w:i w:val="false"/>
          <w:color w:val="000000"/>
          <w:sz w:val="28"/>
        </w:rPr>
        <w:t>
      3) определение порядка организации работы с клиентами, включающего:</w:t>
      </w:r>
    </w:p>
    <w:p>
      <w:pPr>
        <w:spacing w:after="0"/>
        <w:ind w:left="0"/>
        <w:jc w:val="both"/>
      </w:pPr>
      <w:r>
        <w:rPr>
          <w:rFonts w:ascii="Times New Roman"/>
          <w:b w:val="false"/>
          <w:i w:val="false"/>
          <w:color w:val="000000"/>
          <w:sz w:val="28"/>
        </w:rPr>
        <w:t>
      процедуры, обеспечивающие своевременность принятия и исполнения клиентских заказов;</w:t>
      </w:r>
    </w:p>
    <w:p>
      <w:pPr>
        <w:spacing w:after="0"/>
        <w:ind w:left="0"/>
        <w:jc w:val="both"/>
      </w:pPr>
      <w:r>
        <w:rPr>
          <w:rFonts w:ascii="Times New Roman"/>
          <w:b w:val="false"/>
          <w:i w:val="false"/>
          <w:color w:val="000000"/>
          <w:sz w:val="28"/>
        </w:rPr>
        <w:t>
      процедуры, обеспечивающие рассмотрение по существу в установленный срок жалоб и обращений клиентов;</w:t>
      </w:r>
    </w:p>
    <w:p>
      <w:pPr>
        <w:spacing w:after="0"/>
        <w:ind w:left="0"/>
        <w:jc w:val="both"/>
      </w:pPr>
      <w:r>
        <w:rPr>
          <w:rFonts w:ascii="Times New Roman"/>
          <w:b w:val="false"/>
          <w:i w:val="false"/>
          <w:color w:val="000000"/>
          <w:sz w:val="28"/>
        </w:rPr>
        <w:t>
      процедуры, обеспечивающие своевременность исполнения сделок за счет активов клиентов и (или) собственных активов;</w:t>
      </w:r>
    </w:p>
    <w:p>
      <w:pPr>
        <w:spacing w:after="0"/>
        <w:ind w:left="0"/>
        <w:jc w:val="both"/>
      </w:pPr>
      <w:r>
        <w:rPr>
          <w:rFonts w:ascii="Times New Roman"/>
          <w:b w:val="false"/>
          <w:i w:val="false"/>
          <w:color w:val="000000"/>
          <w:sz w:val="28"/>
        </w:rPr>
        <w:t>
      процедуры, обеспечивающие соответствие учета активов клиентов требованиям законодательства Республики Казахстан о рынке ценных бумаг и бухгалтерском учете;</w:t>
      </w:r>
    </w:p>
    <w:p>
      <w:pPr>
        <w:spacing w:after="0"/>
        <w:ind w:left="0"/>
        <w:jc w:val="both"/>
      </w:pPr>
      <w:r>
        <w:rPr>
          <w:rFonts w:ascii="Times New Roman"/>
          <w:b w:val="false"/>
          <w:i w:val="false"/>
          <w:color w:val="000000"/>
          <w:sz w:val="28"/>
        </w:rPr>
        <w:t>
      порядок осуществления проверки правильности порядка определения и начисления вознаграждения;</w:t>
      </w:r>
    </w:p>
    <w:p>
      <w:pPr>
        <w:spacing w:after="0"/>
        <w:ind w:left="0"/>
        <w:jc w:val="both"/>
      </w:pPr>
      <w:r>
        <w:rPr>
          <w:rFonts w:ascii="Times New Roman"/>
          <w:b w:val="false"/>
          <w:i w:val="false"/>
          <w:color w:val="000000"/>
          <w:sz w:val="28"/>
        </w:rPr>
        <w:t>
      процедуры, направленные на предотвращение случаев неправомерного использования средств клиентов;</w:t>
      </w:r>
    </w:p>
    <w:p>
      <w:pPr>
        <w:spacing w:after="0"/>
        <w:ind w:left="0"/>
        <w:jc w:val="both"/>
      </w:pPr>
      <w:r>
        <w:rPr>
          <w:rFonts w:ascii="Times New Roman"/>
          <w:b w:val="false"/>
          <w:i w:val="false"/>
          <w:color w:val="000000"/>
          <w:sz w:val="28"/>
        </w:rPr>
        <w:t>
      процедуры по мониторингу и анализу финансового состояния и платежеспособности клиентов;</w:t>
      </w:r>
    </w:p>
    <w:p>
      <w:pPr>
        <w:spacing w:after="0"/>
        <w:ind w:left="0"/>
        <w:jc w:val="both"/>
      </w:pPr>
      <w:r>
        <w:rPr>
          <w:rFonts w:ascii="Times New Roman"/>
          <w:b w:val="false"/>
          <w:i w:val="false"/>
          <w:color w:val="000000"/>
          <w:sz w:val="28"/>
        </w:rPr>
        <w:t>
      порядок осуществления расчетов рисков на одного клиента;</w:t>
      </w:r>
    </w:p>
    <w:p>
      <w:pPr>
        <w:spacing w:after="0"/>
        <w:ind w:left="0"/>
        <w:jc w:val="both"/>
      </w:pPr>
      <w:r>
        <w:rPr>
          <w:rFonts w:ascii="Times New Roman"/>
          <w:b w:val="false"/>
          <w:i w:val="false"/>
          <w:color w:val="000000"/>
          <w:sz w:val="28"/>
        </w:rPr>
        <w:t>
      процедуры, направленные на ограничение рисков неплатежеспособности;</w:t>
      </w:r>
    </w:p>
    <w:p>
      <w:pPr>
        <w:spacing w:after="0"/>
        <w:ind w:left="0"/>
        <w:jc w:val="both"/>
      </w:pPr>
      <w:r>
        <w:rPr>
          <w:rFonts w:ascii="Times New Roman"/>
          <w:b w:val="false"/>
          <w:i w:val="false"/>
          <w:color w:val="000000"/>
          <w:sz w:val="28"/>
        </w:rPr>
        <w:t>
      4) создание организационно-функциональной структуры управления брокером и (или) дилером;</w:t>
      </w:r>
    </w:p>
    <w:p>
      <w:pPr>
        <w:spacing w:after="0"/>
        <w:ind w:left="0"/>
        <w:jc w:val="both"/>
      </w:pPr>
      <w:r>
        <w:rPr>
          <w:rFonts w:ascii="Times New Roman"/>
          <w:b w:val="false"/>
          <w:i w:val="false"/>
          <w:color w:val="000000"/>
          <w:sz w:val="28"/>
        </w:rPr>
        <w:t>
      5) разработка и утверждение внутренних процедур и документов;</w:t>
      </w:r>
    </w:p>
    <w:p>
      <w:pPr>
        <w:spacing w:after="0"/>
        <w:ind w:left="0"/>
        <w:jc w:val="both"/>
      </w:pPr>
      <w:r>
        <w:rPr>
          <w:rFonts w:ascii="Times New Roman"/>
          <w:b w:val="false"/>
          <w:i w:val="false"/>
          <w:color w:val="000000"/>
          <w:sz w:val="28"/>
        </w:rPr>
        <w:t>
      6) предоставление информации, необходимой для принятия решений, заинтересованным органам и подразделениям брокера и (или) дилера;</w:t>
      </w:r>
    </w:p>
    <w:p>
      <w:pPr>
        <w:spacing w:after="0"/>
        <w:ind w:left="0"/>
        <w:jc w:val="both"/>
      </w:pPr>
      <w:r>
        <w:rPr>
          <w:rFonts w:ascii="Times New Roman"/>
          <w:b w:val="false"/>
          <w:i w:val="false"/>
          <w:color w:val="000000"/>
          <w:sz w:val="28"/>
        </w:rPr>
        <w:t>
      7) мониторинг соблюдения требований, установленных законодательством Республики Казахстан о рынке ценных бумаг и политикой инвестирования собственных активов;</w:t>
      </w:r>
    </w:p>
    <w:p>
      <w:pPr>
        <w:spacing w:after="0"/>
        <w:ind w:left="0"/>
        <w:jc w:val="both"/>
      </w:pPr>
      <w:r>
        <w:rPr>
          <w:rFonts w:ascii="Times New Roman"/>
          <w:b w:val="false"/>
          <w:i w:val="false"/>
          <w:color w:val="000000"/>
          <w:sz w:val="28"/>
        </w:rPr>
        <w:t>
      8) управление существующим и потенциальным конфликтом интересов в брокере и (или) дилере.</w:t>
      </w:r>
    </w:p>
    <w:bookmarkStart w:name="z54" w:id="69"/>
    <w:p>
      <w:pPr>
        <w:spacing w:after="0"/>
        <w:ind w:left="0"/>
        <w:jc w:val="both"/>
      </w:pPr>
      <w:r>
        <w:rPr>
          <w:rFonts w:ascii="Times New Roman"/>
          <w:b w:val="false"/>
          <w:i w:val="false"/>
          <w:color w:val="000000"/>
          <w:sz w:val="28"/>
        </w:rPr>
        <w:t>
      12. Система управления рисками Управляющего охватывает следующие направления его деятельности:</w:t>
      </w:r>
    </w:p>
    <w:bookmarkEnd w:id="69"/>
    <w:p>
      <w:pPr>
        <w:spacing w:after="0"/>
        <w:ind w:left="0"/>
        <w:jc w:val="both"/>
      </w:pPr>
      <w:r>
        <w:rPr>
          <w:rFonts w:ascii="Times New Roman"/>
          <w:b w:val="false"/>
          <w:i w:val="false"/>
          <w:color w:val="000000"/>
          <w:sz w:val="28"/>
        </w:rPr>
        <w:t>
      1) проведение регулярного анализа инвестиционных возможностей с учетом прогнозных значений показателей финансового рынка, включая рынок ценных бумаг, и подготовка на основании данного анализа рекомендаций для принятия инвестиционных решений;</w:t>
      </w:r>
    </w:p>
    <w:p>
      <w:pPr>
        <w:spacing w:after="0"/>
        <w:ind w:left="0"/>
        <w:jc w:val="both"/>
      </w:pPr>
      <w:r>
        <w:rPr>
          <w:rFonts w:ascii="Times New Roman"/>
          <w:b w:val="false"/>
          <w:i w:val="false"/>
          <w:color w:val="000000"/>
          <w:sz w:val="28"/>
        </w:rPr>
        <w:t>
      2) разработка и утверждение инвестиционных деклараций по активам клиентов и инвестиционных фондов, принятых в управление, политики управления активами клиентов физических и юридических лиц, политики инвестирования собственных активов;</w:t>
      </w:r>
    </w:p>
    <w:p>
      <w:pPr>
        <w:spacing w:after="0"/>
        <w:ind w:left="0"/>
        <w:jc w:val="both"/>
      </w:pPr>
      <w:r>
        <w:rPr>
          <w:rFonts w:ascii="Times New Roman"/>
          <w:b w:val="false"/>
          <w:i w:val="false"/>
          <w:color w:val="000000"/>
          <w:sz w:val="28"/>
        </w:rPr>
        <w:t>
      3) установление лимитов инвестирования, лимитов "stop-loss", "take-profit", максимального допустимого размера убытков и гэп-позиции;</w:t>
      </w:r>
    </w:p>
    <w:p>
      <w:pPr>
        <w:spacing w:after="0"/>
        <w:ind w:left="0"/>
        <w:jc w:val="both"/>
      </w:pPr>
      <w:r>
        <w:rPr>
          <w:rFonts w:ascii="Times New Roman"/>
          <w:b w:val="false"/>
          <w:i w:val="false"/>
          <w:color w:val="000000"/>
          <w:sz w:val="28"/>
        </w:rPr>
        <w:t>
      4) принятие инвестиционных решений в отношении активов клиентов, принятых в управление;</w:t>
      </w:r>
    </w:p>
    <w:p>
      <w:pPr>
        <w:spacing w:after="0"/>
        <w:ind w:left="0"/>
        <w:jc w:val="both"/>
      </w:pPr>
      <w:r>
        <w:rPr>
          <w:rFonts w:ascii="Times New Roman"/>
          <w:b w:val="false"/>
          <w:i w:val="false"/>
          <w:color w:val="000000"/>
          <w:sz w:val="28"/>
        </w:rPr>
        <w:t>
      5) принятие инвестиционных решений в отношении собственных активов;</w:t>
      </w:r>
    </w:p>
    <w:p>
      <w:pPr>
        <w:spacing w:after="0"/>
        <w:ind w:left="0"/>
        <w:jc w:val="both"/>
      </w:pPr>
      <w:r>
        <w:rPr>
          <w:rFonts w:ascii="Times New Roman"/>
          <w:b w:val="false"/>
          <w:i w:val="false"/>
          <w:color w:val="000000"/>
          <w:sz w:val="28"/>
        </w:rPr>
        <w:t>
      6) мониторинг соблюдения в процессе инвестирования требований, установленных законодательством Республики Казахстан о рынке ценных бумаг и инвестиционных фондах, инвестиционной декларацией по активам клиентов и инвестиционных фондов, принятых в управление, политикой по управлению активами клиентов физических и юридических лиц, и политикой инвестирования собственных активов;</w:t>
      </w:r>
    </w:p>
    <w:p>
      <w:pPr>
        <w:spacing w:after="0"/>
        <w:ind w:left="0"/>
        <w:jc w:val="both"/>
      </w:pPr>
      <w:r>
        <w:rPr>
          <w:rFonts w:ascii="Times New Roman"/>
          <w:b w:val="false"/>
          <w:i w:val="false"/>
          <w:color w:val="000000"/>
          <w:sz w:val="28"/>
        </w:rPr>
        <w:t>
      7) определение порядка организации работы с клиентами, включающего:</w:t>
      </w:r>
    </w:p>
    <w:p>
      <w:pPr>
        <w:spacing w:after="0"/>
        <w:ind w:left="0"/>
        <w:jc w:val="both"/>
      </w:pPr>
      <w:r>
        <w:rPr>
          <w:rFonts w:ascii="Times New Roman"/>
          <w:b w:val="false"/>
          <w:i w:val="false"/>
          <w:color w:val="000000"/>
          <w:sz w:val="28"/>
        </w:rPr>
        <w:t>
      процедуры, обеспечивающие рассмотрение по существу в установленный срок жалоб и обращений клиентов;</w:t>
      </w:r>
    </w:p>
    <w:p>
      <w:pPr>
        <w:spacing w:after="0"/>
        <w:ind w:left="0"/>
        <w:jc w:val="both"/>
      </w:pPr>
      <w:r>
        <w:rPr>
          <w:rFonts w:ascii="Times New Roman"/>
          <w:b w:val="false"/>
          <w:i w:val="false"/>
          <w:color w:val="000000"/>
          <w:sz w:val="28"/>
        </w:rPr>
        <w:t>
      процедуры, обеспечивающие соответствие учета активов клиентов требованиям законодательства Республики Казахстан о рынке ценных бумаг и бухгалтерском учете;</w:t>
      </w:r>
    </w:p>
    <w:p>
      <w:pPr>
        <w:spacing w:after="0"/>
        <w:ind w:left="0"/>
        <w:jc w:val="both"/>
      </w:pPr>
      <w:r>
        <w:rPr>
          <w:rFonts w:ascii="Times New Roman"/>
          <w:b w:val="false"/>
          <w:i w:val="false"/>
          <w:color w:val="000000"/>
          <w:sz w:val="28"/>
        </w:rPr>
        <w:t>
      порядок осуществления проверки правильности порядка определения и начисления вознаграждения;</w:t>
      </w:r>
    </w:p>
    <w:p>
      <w:pPr>
        <w:spacing w:after="0"/>
        <w:ind w:left="0"/>
        <w:jc w:val="both"/>
      </w:pPr>
      <w:r>
        <w:rPr>
          <w:rFonts w:ascii="Times New Roman"/>
          <w:b w:val="false"/>
          <w:i w:val="false"/>
          <w:color w:val="000000"/>
          <w:sz w:val="28"/>
        </w:rPr>
        <w:t>
      процедуры, направленные на предотвращение случаев неправомерного использования активов клиентов;</w:t>
      </w:r>
    </w:p>
    <w:p>
      <w:pPr>
        <w:spacing w:after="0"/>
        <w:ind w:left="0"/>
        <w:jc w:val="both"/>
      </w:pPr>
      <w:r>
        <w:rPr>
          <w:rFonts w:ascii="Times New Roman"/>
          <w:b w:val="false"/>
          <w:i w:val="false"/>
          <w:color w:val="000000"/>
          <w:sz w:val="28"/>
        </w:rPr>
        <w:t>
      8) осуществление стресс-тестинга подверженности инвестиционного портфеля, сформированного за счет активов клиентов, принятых в управление, возможным убыткам;</w:t>
      </w:r>
    </w:p>
    <w:p>
      <w:pPr>
        <w:spacing w:after="0"/>
        <w:ind w:left="0"/>
        <w:jc w:val="both"/>
      </w:pPr>
      <w:r>
        <w:rPr>
          <w:rFonts w:ascii="Times New Roman"/>
          <w:b w:val="false"/>
          <w:i w:val="false"/>
          <w:color w:val="000000"/>
          <w:sz w:val="28"/>
        </w:rPr>
        <w:t>
      9) осуществление стресс-тестинга подверженности инвестиционного портфеля, сформированного за счет собственных активов, возможным убыткам;</w:t>
      </w:r>
    </w:p>
    <w:p>
      <w:pPr>
        <w:spacing w:after="0"/>
        <w:ind w:left="0"/>
        <w:jc w:val="both"/>
      </w:pPr>
      <w:r>
        <w:rPr>
          <w:rFonts w:ascii="Times New Roman"/>
          <w:b w:val="false"/>
          <w:i w:val="false"/>
          <w:color w:val="000000"/>
          <w:sz w:val="28"/>
        </w:rPr>
        <w:t>
      10) создание организационно-функциональной структуры управления Управляющим;</w:t>
      </w:r>
    </w:p>
    <w:p>
      <w:pPr>
        <w:spacing w:after="0"/>
        <w:ind w:left="0"/>
        <w:jc w:val="both"/>
      </w:pPr>
      <w:r>
        <w:rPr>
          <w:rFonts w:ascii="Times New Roman"/>
          <w:b w:val="false"/>
          <w:i w:val="false"/>
          <w:color w:val="000000"/>
          <w:sz w:val="28"/>
        </w:rPr>
        <w:t>
      11) разработка и утверждение внутренних процедур и документов;</w:t>
      </w:r>
    </w:p>
    <w:p>
      <w:pPr>
        <w:spacing w:after="0"/>
        <w:ind w:left="0"/>
        <w:jc w:val="both"/>
      </w:pPr>
      <w:r>
        <w:rPr>
          <w:rFonts w:ascii="Times New Roman"/>
          <w:b w:val="false"/>
          <w:i w:val="false"/>
          <w:color w:val="000000"/>
          <w:sz w:val="28"/>
        </w:rPr>
        <w:t>
      12) предоставление информации, необходимой для принятия решений, заинтересованным органам и подразделениям Управляющего;</w:t>
      </w:r>
    </w:p>
    <w:p>
      <w:pPr>
        <w:spacing w:after="0"/>
        <w:ind w:left="0"/>
        <w:jc w:val="both"/>
      </w:pPr>
      <w:r>
        <w:rPr>
          <w:rFonts w:ascii="Times New Roman"/>
          <w:b w:val="false"/>
          <w:i w:val="false"/>
          <w:color w:val="000000"/>
          <w:sz w:val="28"/>
        </w:rPr>
        <w:t>
      13) управление существующим и потенциальным конфликтом интересов в Управляющем.</w:t>
      </w:r>
    </w:p>
    <w:bookmarkStart w:name="z55" w:id="70"/>
    <w:p>
      <w:pPr>
        <w:spacing w:after="0"/>
        <w:ind w:left="0"/>
        <w:jc w:val="both"/>
      </w:pPr>
      <w:r>
        <w:rPr>
          <w:rFonts w:ascii="Times New Roman"/>
          <w:b w:val="false"/>
          <w:i w:val="false"/>
          <w:color w:val="000000"/>
          <w:sz w:val="28"/>
        </w:rPr>
        <w:t xml:space="preserve">
      13. Система управления рисками Управляющего с правом привлечения добровольных накопительных пенсионных взносов, помимо направлений, перечисленных в </w:t>
      </w:r>
      <w:r>
        <w:rPr>
          <w:rFonts w:ascii="Times New Roman"/>
          <w:b w:val="false"/>
          <w:i w:val="false"/>
          <w:color w:val="000000"/>
          <w:sz w:val="28"/>
        </w:rPr>
        <w:t>пункте 12</w:t>
      </w:r>
      <w:r>
        <w:rPr>
          <w:rFonts w:ascii="Times New Roman"/>
          <w:b w:val="false"/>
          <w:i w:val="false"/>
          <w:color w:val="000000"/>
          <w:sz w:val="28"/>
        </w:rPr>
        <w:t xml:space="preserve"> Правил, также охватывает следующие направления его деятельности: </w:t>
      </w:r>
    </w:p>
    <w:bookmarkEnd w:id="70"/>
    <w:p>
      <w:pPr>
        <w:spacing w:after="0"/>
        <w:ind w:left="0"/>
        <w:jc w:val="both"/>
      </w:pPr>
      <w:r>
        <w:rPr>
          <w:rFonts w:ascii="Times New Roman"/>
          <w:b w:val="false"/>
          <w:i w:val="false"/>
          <w:color w:val="000000"/>
          <w:sz w:val="28"/>
        </w:rPr>
        <w:t>
      1) разработка и утверждение инвестиционной декларации по пенсионным активам;</w:t>
      </w:r>
    </w:p>
    <w:p>
      <w:pPr>
        <w:spacing w:after="0"/>
        <w:ind w:left="0"/>
        <w:jc w:val="both"/>
      </w:pPr>
      <w:r>
        <w:rPr>
          <w:rFonts w:ascii="Times New Roman"/>
          <w:b w:val="false"/>
          <w:i w:val="false"/>
          <w:color w:val="000000"/>
          <w:sz w:val="28"/>
        </w:rPr>
        <w:t>
      2) мониторинг соблюдения требований, установленных законодательством Республики Казахстан о пенсионном обеспечении и инвестиционной декларацией по пенсионным активам.</w:t>
      </w:r>
    </w:p>
    <w:bookmarkStart w:name="z56" w:id="71"/>
    <w:p>
      <w:pPr>
        <w:spacing w:after="0"/>
        <w:ind w:left="0"/>
        <w:jc w:val="both"/>
      </w:pPr>
      <w:r>
        <w:rPr>
          <w:rFonts w:ascii="Times New Roman"/>
          <w:b w:val="false"/>
          <w:i w:val="false"/>
          <w:color w:val="000000"/>
          <w:sz w:val="28"/>
        </w:rPr>
        <w:t xml:space="preserve">
      14. Система управления рисками брокера и (или) дилера, являющегося Управляющим, охватывает направления его деятельности, перечисленные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bookmarkEnd w:id="71"/>
    <w:bookmarkStart w:name="z57" w:id="72"/>
    <w:p>
      <w:pPr>
        <w:spacing w:after="0"/>
        <w:ind w:left="0"/>
        <w:jc w:val="left"/>
      </w:pPr>
      <w:r>
        <w:rPr>
          <w:rFonts w:ascii="Times New Roman"/>
          <w:b/>
          <w:i w:val="false"/>
          <w:color w:val="000000"/>
        </w:rPr>
        <w:t xml:space="preserve"> Глава 3. Требования к внутренним документам брокера и (или) дилера и Управляющего</w:t>
      </w:r>
    </w:p>
    <w:bookmarkEnd w:id="72"/>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73"/>
    <w:p>
      <w:pPr>
        <w:spacing w:after="0"/>
        <w:ind w:left="0"/>
        <w:jc w:val="both"/>
      </w:pPr>
      <w:r>
        <w:rPr>
          <w:rFonts w:ascii="Times New Roman"/>
          <w:b w:val="false"/>
          <w:i w:val="false"/>
          <w:color w:val="000000"/>
          <w:sz w:val="28"/>
        </w:rPr>
        <w:t>
      15. Внутренние документы брокера и (или) дилера, Управляющего включают:</w:t>
      </w:r>
    </w:p>
    <w:bookmarkEnd w:id="73"/>
    <w:bookmarkStart w:name="z441" w:id="74"/>
    <w:p>
      <w:pPr>
        <w:spacing w:after="0"/>
        <w:ind w:left="0"/>
        <w:jc w:val="both"/>
      </w:pPr>
      <w:r>
        <w:rPr>
          <w:rFonts w:ascii="Times New Roman"/>
          <w:b w:val="false"/>
          <w:i w:val="false"/>
          <w:color w:val="000000"/>
          <w:sz w:val="28"/>
        </w:rPr>
        <w:t>
      1) положение об организационно-функциональной структуре управления брокера и (или) дилера, Управляющего;</w:t>
      </w:r>
    </w:p>
    <w:bookmarkEnd w:id="74"/>
    <w:bookmarkStart w:name="z442" w:id="75"/>
    <w:p>
      <w:pPr>
        <w:spacing w:after="0"/>
        <w:ind w:left="0"/>
        <w:jc w:val="both"/>
      </w:pPr>
      <w:r>
        <w:rPr>
          <w:rFonts w:ascii="Times New Roman"/>
          <w:b w:val="false"/>
          <w:i w:val="false"/>
          <w:color w:val="000000"/>
          <w:sz w:val="28"/>
        </w:rPr>
        <w:t>
      2)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w:t>
      </w:r>
    </w:p>
    <w:bookmarkEnd w:id="75"/>
    <w:bookmarkStart w:name="z443" w:id="76"/>
    <w:p>
      <w:pPr>
        <w:spacing w:after="0"/>
        <w:ind w:left="0"/>
        <w:jc w:val="both"/>
      </w:pPr>
      <w:r>
        <w:rPr>
          <w:rFonts w:ascii="Times New Roman"/>
          <w:b w:val="false"/>
          <w:i w:val="false"/>
          <w:color w:val="000000"/>
          <w:sz w:val="28"/>
        </w:rPr>
        <w:t>
      3) корпоративную стратегию брокера и (или) дилера, Управляющего;</w:t>
      </w:r>
    </w:p>
    <w:bookmarkEnd w:id="76"/>
    <w:bookmarkStart w:name="z444" w:id="77"/>
    <w:p>
      <w:pPr>
        <w:spacing w:after="0"/>
        <w:ind w:left="0"/>
        <w:jc w:val="both"/>
      </w:pPr>
      <w:r>
        <w:rPr>
          <w:rFonts w:ascii="Times New Roman"/>
          <w:b w:val="false"/>
          <w:i w:val="false"/>
          <w:color w:val="000000"/>
          <w:sz w:val="28"/>
        </w:rPr>
        <w:t>
      4) учетную политику брокера и (или) дилера, Управляющего;</w:t>
      </w:r>
    </w:p>
    <w:bookmarkEnd w:id="77"/>
    <w:bookmarkStart w:name="z445" w:id="78"/>
    <w:p>
      <w:pPr>
        <w:spacing w:after="0"/>
        <w:ind w:left="0"/>
        <w:jc w:val="both"/>
      </w:pPr>
      <w:r>
        <w:rPr>
          <w:rFonts w:ascii="Times New Roman"/>
          <w:b w:val="false"/>
          <w:i w:val="false"/>
          <w:color w:val="000000"/>
          <w:sz w:val="28"/>
        </w:rPr>
        <w:t>
      5) политику инвестирования активов клиентов Управляющего;</w:t>
      </w:r>
    </w:p>
    <w:bookmarkEnd w:id="78"/>
    <w:bookmarkStart w:name="z446" w:id="79"/>
    <w:p>
      <w:pPr>
        <w:spacing w:after="0"/>
        <w:ind w:left="0"/>
        <w:jc w:val="both"/>
      </w:pPr>
      <w:r>
        <w:rPr>
          <w:rFonts w:ascii="Times New Roman"/>
          <w:b w:val="false"/>
          <w:i w:val="false"/>
          <w:color w:val="000000"/>
          <w:sz w:val="28"/>
        </w:rPr>
        <w:t>
      6) политику инвестирования собственных активов брокера и (или) дилера, Управляющего;</w:t>
      </w:r>
    </w:p>
    <w:bookmarkEnd w:id="79"/>
    <w:bookmarkStart w:name="z447" w:id="80"/>
    <w:p>
      <w:pPr>
        <w:spacing w:after="0"/>
        <w:ind w:left="0"/>
        <w:jc w:val="both"/>
      </w:pPr>
      <w:r>
        <w:rPr>
          <w:rFonts w:ascii="Times New Roman"/>
          <w:b w:val="false"/>
          <w:i w:val="false"/>
          <w:color w:val="000000"/>
          <w:sz w:val="28"/>
        </w:rPr>
        <w:t>
      7) политику брокера и (или) дилера, Управляющего по управлению рисками;</w:t>
      </w:r>
    </w:p>
    <w:bookmarkEnd w:id="80"/>
    <w:bookmarkStart w:name="z448" w:id="81"/>
    <w:p>
      <w:pPr>
        <w:spacing w:after="0"/>
        <w:ind w:left="0"/>
        <w:jc w:val="both"/>
      </w:pPr>
      <w:r>
        <w:rPr>
          <w:rFonts w:ascii="Times New Roman"/>
          <w:b w:val="false"/>
          <w:i w:val="false"/>
          <w:color w:val="000000"/>
          <w:sz w:val="28"/>
        </w:rPr>
        <w:t>
      8) процедуры осуществления анализа и мониторинга контрпартнеров и клиентов;</w:t>
      </w:r>
    </w:p>
    <w:bookmarkEnd w:id="81"/>
    <w:bookmarkStart w:name="z449" w:id="82"/>
    <w:p>
      <w:pPr>
        <w:spacing w:after="0"/>
        <w:ind w:left="0"/>
        <w:jc w:val="both"/>
      </w:pPr>
      <w:r>
        <w:rPr>
          <w:rFonts w:ascii="Times New Roman"/>
          <w:b w:val="false"/>
          <w:i w:val="false"/>
          <w:color w:val="000000"/>
          <w:sz w:val="28"/>
        </w:rPr>
        <w:t>
      9) порядок оценки финансового состояния и ранжирования клиентов;</w:t>
      </w:r>
    </w:p>
    <w:bookmarkEnd w:id="82"/>
    <w:bookmarkStart w:name="z450" w:id="83"/>
    <w:p>
      <w:pPr>
        <w:spacing w:after="0"/>
        <w:ind w:left="0"/>
        <w:jc w:val="both"/>
      </w:pPr>
      <w:r>
        <w:rPr>
          <w:rFonts w:ascii="Times New Roman"/>
          <w:b w:val="false"/>
          <w:i w:val="false"/>
          <w:color w:val="000000"/>
          <w:sz w:val="28"/>
        </w:rPr>
        <w:t>
      10) порядок и условия ограничения рисков неплатежеспособности;</w:t>
      </w:r>
    </w:p>
    <w:bookmarkEnd w:id="83"/>
    <w:bookmarkStart w:name="z451" w:id="84"/>
    <w:p>
      <w:pPr>
        <w:spacing w:after="0"/>
        <w:ind w:left="0"/>
        <w:jc w:val="both"/>
      </w:pPr>
      <w:r>
        <w:rPr>
          <w:rFonts w:ascii="Times New Roman"/>
          <w:b w:val="false"/>
          <w:i w:val="false"/>
          <w:color w:val="000000"/>
          <w:sz w:val="28"/>
        </w:rPr>
        <w:t>
      11) порядок совершения маржинальных сделок (в случае, если брокером и (или) дилером, Управляющим принято решение о предоставлении услуг по совершению маржинальных сделок);</w:t>
      </w:r>
    </w:p>
    <w:bookmarkEnd w:id="84"/>
    <w:bookmarkStart w:name="z452" w:id="85"/>
    <w:p>
      <w:pPr>
        <w:spacing w:after="0"/>
        <w:ind w:left="0"/>
        <w:jc w:val="both"/>
      </w:pPr>
      <w:r>
        <w:rPr>
          <w:rFonts w:ascii="Times New Roman"/>
          <w:b w:val="false"/>
          <w:i w:val="false"/>
          <w:color w:val="000000"/>
          <w:sz w:val="28"/>
        </w:rPr>
        <w:t>
      12) правила обеспечения информационной безопасности;</w:t>
      </w:r>
    </w:p>
    <w:bookmarkEnd w:id="85"/>
    <w:bookmarkStart w:name="z453" w:id="86"/>
    <w:p>
      <w:pPr>
        <w:spacing w:after="0"/>
        <w:ind w:left="0"/>
        <w:jc w:val="both"/>
      </w:pPr>
      <w:r>
        <w:rPr>
          <w:rFonts w:ascii="Times New Roman"/>
          <w:b w:val="false"/>
          <w:i w:val="false"/>
          <w:color w:val="000000"/>
          <w:sz w:val="28"/>
        </w:rPr>
        <w:t>
      13) правила расчета и начисления вознаграждения за оказание финансовых услуг;</w:t>
      </w:r>
    </w:p>
    <w:bookmarkEnd w:id="86"/>
    <w:bookmarkStart w:name="z454" w:id="87"/>
    <w:p>
      <w:pPr>
        <w:spacing w:after="0"/>
        <w:ind w:left="0"/>
        <w:jc w:val="both"/>
      </w:pPr>
      <w:r>
        <w:rPr>
          <w:rFonts w:ascii="Times New Roman"/>
          <w:b w:val="false"/>
          <w:i w:val="false"/>
          <w:color w:val="000000"/>
          <w:sz w:val="28"/>
        </w:rPr>
        <w:t>
      14) процедуры осуществления внутреннего аудита и внутреннего контроля;15) политику управления существующим и потенциальным конфликтом интересов;</w:t>
      </w:r>
    </w:p>
    <w:bookmarkEnd w:id="87"/>
    <w:bookmarkStart w:name="z455" w:id="88"/>
    <w:p>
      <w:pPr>
        <w:spacing w:after="0"/>
        <w:ind w:left="0"/>
        <w:jc w:val="both"/>
      </w:pPr>
      <w:r>
        <w:rPr>
          <w:rFonts w:ascii="Times New Roman"/>
          <w:b w:val="false"/>
          <w:i w:val="false"/>
          <w:color w:val="000000"/>
          <w:sz w:val="28"/>
        </w:rPr>
        <w:t>
      16) правила ведения журналов учета;</w:t>
      </w:r>
    </w:p>
    <w:bookmarkEnd w:id="88"/>
    <w:bookmarkStart w:name="z456" w:id="89"/>
    <w:p>
      <w:pPr>
        <w:spacing w:after="0"/>
        <w:ind w:left="0"/>
        <w:jc w:val="both"/>
      </w:pPr>
      <w:r>
        <w:rPr>
          <w:rFonts w:ascii="Times New Roman"/>
          <w:b w:val="false"/>
          <w:i w:val="false"/>
          <w:color w:val="000000"/>
          <w:sz w:val="28"/>
        </w:rPr>
        <w:t>
      17) инструкцию по технике безопасности;</w:t>
      </w:r>
    </w:p>
    <w:bookmarkEnd w:id="89"/>
    <w:bookmarkStart w:name="z457" w:id="90"/>
    <w:p>
      <w:pPr>
        <w:spacing w:after="0"/>
        <w:ind w:left="0"/>
        <w:jc w:val="both"/>
      </w:pPr>
      <w:r>
        <w:rPr>
          <w:rFonts w:ascii="Times New Roman"/>
          <w:b w:val="false"/>
          <w:i w:val="false"/>
          <w:color w:val="000000"/>
          <w:sz w:val="28"/>
        </w:rPr>
        <w:t>
      18) иные документы, установленные органом управления (наблюдательным советом) брокера и (или) дилера, Управляющего.Подпункты 8), 9), 10), 11) настоящего пункта распространяются на Управляющего, являющегося брокером и (или) дилером.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91"/>
    <w:p>
      <w:pPr>
        <w:spacing w:after="0"/>
        <w:ind w:left="0"/>
        <w:jc w:val="both"/>
      </w:pPr>
      <w:r>
        <w:rPr>
          <w:rFonts w:ascii="Times New Roman"/>
          <w:b w:val="false"/>
          <w:i w:val="false"/>
          <w:color w:val="000000"/>
          <w:sz w:val="28"/>
        </w:rPr>
        <w:t xml:space="preserve">
      16. Внутренние документы брокера и (или) дилера, Управляющего, указанные в </w:t>
      </w:r>
      <w:r>
        <w:rPr>
          <w:rFonts w:ascii="Times New Roman"/>
          <w:b w:val="false"/>
          <w:i w:val="false"/>
          <w:color w:val="000000"/>
          <w:sz w:val="28"/>
        </w:rPr>
        <w:t>пункте 15</w:t>
      </w:r>
      <w:r>
        <w:rPr>
          <w:rFonts w:ascii="Times New Roman"/>
          <w:b w:val="false"/>
          <w:i w:val="false"/>
          <w:color w:val="000000"/>
          <w:sz w:val="28"/>
        </w:rPr>
        <w:t xml:space="preserve"> Правил, составляются в качестве отдельного документа либо включаются в состав других внутренних документов брокера и (или) дилера, Управляющего, которые после согласования с подразделением брокера и (или) дилера, Управляющего, осуществляющим управление рисками брокера и (или) дилера, Управляющего, утверждаются органом управления (наблюдательным советом) брокера и (или) дилера, Управляющего, за исключением внутренних документов, предусмотренных подпунктами 1) и 16) </w:t>
      </w:r>
      <w:r>
        <w:rPr>
          <w:rFonts w:ascii="Times New Roman"/>
          <w:b w:val="false"/>
          <w:i w:val="false"/>
          <w:color w:val="000000"/>
          <w:sz w:val="28"/>
        </w:rPr>
        <w:t>пункта 15</w:t>
      </w:r>
      <w:r>
        <w:rPr>
          <w:rFonts w:ascii="Times New Roman"/>
          <w:b w:val="false"/>
          <w:i w:val="false"/>
          <w:color w:val="000000"/>
          <w:sz w:val="28"/>
        </w:rPr>
        <w:t xml:space="preserve"> Правил, которые утверждаются исполнительным органом брокера и (или) дилера, Управляющего.</w:t>
      </w:r>
    </w:p>
    <w:bookmarkEnd w:id="91"/>
    <w:bookmarkStart w:name="z60" w:id="92"/>
    <w:p>
      <w:pPr>
        <w:spacing w:after="0"/>
        <w:ind w:left="0"/>
        <w:jc w:val="both"/>
      </w:pPr>
      <w:r>
        <w:rPr>
          <w:rFonts w:ascii="Times New Roman"/>
          <w:b w:val="false"/>
          <w:i w:val="false"/>
          <w:color w:val="000000"/>
          <w:sz w:val="28"/>
        </w:rPr>
        <w:t>
      17. Положение об организационно-функциональной структуре управления брокера и (или) дилера, Управляющего определяет:</w:t>
      </w:r>
    </w:p>
    <w:bookmarkEnd w:id="92"/>
    <w:p>
      <w:pPr>
        <w:spacing w:after="0"/>
        <w:ind w:left="0"/>
        <w:jc w:val="both"/>
      </w:pPr>
      <w:r>
        <w:rPr>
          <w:rFonts w:ascii="Times New Roman"/>
          <w:b w:val="false"/>
          <w:i w:val="false"/>
          <w:color w:val="000000"/>
          <w:sz w:val="28"/>
        </w:rPr>
        <w:t>
      1) полномочия и обязанности подразделения брокера и (или) дилера, Управляющего или лица, осуществляющего управление рисками, отвечающего за независимую оценку и анализ основных рисков, связанных с проводимыми брокером и (или) дилером, Управляющим операциями;</w:t>
      </w:r>
    </w:p>
    <w:p>
      <w:pPr>
        <w:spacing w:after="0"/>
        <w:ind w:left="0"/>
        <w:jc w:val="both"/>
      </w:pPr>
      <w:r>
        <w:rPr>
          <w:rFonts w:ascii="Times New Roman"/>
          <w:b w:val="false"/>
          <w:i w:val="false"/>
          <w:color w:val="000000"/>
          <w:sz w:val="28"/>
        </w:rPr>
        <w:t>
      2) структуру органов, соответствующую их функциональным обязанностям;</w:t>
      </w:r>
    </w:p>
    <w:p>
      <w:pPr>
        <w:spacing w:after="0"/>
        <w:ind w:left="0"/>
        <w:jc w:val="both"/>
      </w:pPr>
      <w:r>
        <w:rPr>
          <w:rFonts w:ascii="Times New Roman"/>
          <w:b w:val="false"/>
          <w:i w:val="false"/>
          <w:color w:val="000000"/>
          <w:sz w:val="28"/>
        </w:rPr>
        <w:t>
      3) описание порядка взаимодействия между органами, подразделениями, филиалами и представительствами, работниками;</w:t>
      </w:r>
    </w:p>
    <w:p>
      <w:pPr>
        <w:spacing w:after="0"/>
        <w:ind w:left="0"/>
        <w:jc w:val="both"/>
      </w:pPr>
      <w:r>
        <w:rPr>
          <w:rFonts w:ascii="Times New Roman"/>
          <w:b w:val="false"/>
          <w:i w:val="false"/>
          <w:color w:val="000000"/>
          <w:sz w:val="28"/>
        </w:rPr>
        <w:t>
      4) положения об органах, подразделениях, филиалах и представительствах, включающие описание их функций, обязанностей и полномочий, а также формы и сроки представления отчетности и информации высшему органу и органу управления (наблюдательному совету) брокера и (или) дилера, Управляющего. Перечень информации, представляемой высшему органу и органу управления (наблюдательному совету) брокера и (или) дилера, Управляющего, составляется с учетом необходимости предоставления органам брокера и (или) дилера, Управляющего достаточного для надлежащего исполнения их функциональных обязанностей объема информации;</w:t>
      </w:r>
    </w:p>
    <w:p>
      <w:pPr>
        <w:spacing w:after="0"/>
        <w:ind w:left="0"/>
        <w:jc w:val="both"/>
      </w:pPr>
      <w:r>
        <w:rPr>
          <w:rFonts w:ascii="Times New Roman"/>
          <w:b w:val="false"/>
          <w:i w:val="false"/>
          <w:color w:val="000000"/>
          <w:sz w:val="28"/>
        </w:rPr>
        <w:t>
      5) должностные инструкции работников;</w:t>
      </w:r>
    </w:p>
    <w:p>
      <w:pPr>
        <w:spacing w:after="0"/>
        <w:ind w:left="0"/>
        <w:jc w:val="both"/>
      </w:pPr>
      <w:r>
        <w:rPr>
          <w:rFonts w:ascii="Times New Roman"/>
          <w:b w:val="false"/>
          <w:i w:val="false"/>
          <w:color w:val="000000"/>
          <w:sz w:val="28"/>
        </w:rPr>
        <w:t>
      6) наличие в организационной структуре брокера и (или) дилера, Управляющего, обладающих двумя и более лицензиями на осуществление деятельности на финансовом рынке, отдельных подразделений по каждому виду деятельности и недопущение возложения на работников одного из подразделений исполнения функций и обязанностей работников другого подразделения;</w:t>
      </w:r>
    </w:p>
    <w:p>
      <w:pPr>
        <w:spacing w:after="0"/>
        <w:ind w:left="0"/>
        <w:jc w:val="both"/>
      </w:pPr>
      <w:r>
        <w:rPr>
          <w:rFonts w:ascii="Times New Roman"/>
          <w:b w:val="false"/>
          <w:i w:val="false"/>
          <w:color w:val="000000"/>
          <w:sz w:val="28"/>
        </w:rPr>
        <w:t>
      7) недопущение возложения на работников подразделения, осуществляющего управление рисками, и службы внутреннего аудита функций других подразделений брокера и (или) дилера, Управляющего;</w:t>
      </w:r>
    </w:p>
    <w:p>
      <w:pPr>
        <w:spacing w:after="0"/>
        <w:ind w:left="0"/>
        <w:jc w:val="both"/>
      </w:pPr>
      <w:r>
        <w:rPr>
          <w:rFonts w:ascii="Times New Roman"/>
          <w:b w:val="false"/>
          <w:i w:val="false"/>
          <w:color w:val="000000"/>
          <w:sz w:val="28"/>
        </w:rPr>
        <w:t>
      8) порядок оценки эффективности деятельности подразделений и работников в течение отчетного периода, в том числе применение мер за невыполнение (некачественное или несвоевременное выполнение) возложенных на них функций и задач.</w:t>
      </w:r>
    </w:p>
    <w:bookmarkStart w:name="z61" w:id="93"/>
    <w:p>
      <w:pPr>
        <w:spacing w:after="0"/>
        <w:ind w:left="0"/>
        <w:jc w:val="both"/>
      </w:pPr>
      <w:r>
        <w:rPr>
          <w:rFonts w:ascii="Times New Roman"/>
          <w:b w:val="false"/>
          <w:i w:val="false"/>
          <w:color w:val="000000"/>
          <w:sz w:val="28"/>
        </w:rPr>
        <w:t>
      18.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 а также корпоративная стратегия брокера и (или) дилера, Управляющего составляется и пересматривается с целью учета объективных макро- и микроэкономических факторов, влияющих на деятельность брокера и (или) дилера, Управляющего.</w:t>
      </w:r>
    </w:p>
    <w:bookmarkEnd w:id="93"/>
    <w:p>
      <w:pPr>
        <w:spacing w:after="0"/>
        <w:ind w:left="0"/>
        <w:jc w:val="both"/>
      </w:pPr>
      <w:r>
        <w:rPr>
          <w:rFonts w:ascii="Times New Roman"/>
          <w:b w:val="false"/>
          <w:i w:val="false"/>
          <w:color w:val="000000"/>
          <w:sz w:val="28"/>
        </w:rPr>
        <w:t>
      Долгосрочная стратегия брокера и (или) дилера, Управляющего составляется и постоянно совершенствуется с целью исключения факторов, ранее негативно отразившихся на деятельности брокера и (или) дилера, Управляющего.</w:t>
      </w:r>
    </w:p>
    <w:p>
      <w:pPr>
        <w:spacing w:after="0"/>
        <w:ind w:left="0"/>
        <w:jc w:val="both"/>
      </w:pPr>
      <w:r>
        <w:rPr>
          <w:rFonts w:ascii="Times New Roman"/>
          <w:b w:val="false"/>
          <w:i w:val="false"/>
          <w:color w:val="000000"/>
          <w:sz w:val="28"/>
        </w:rPr>
        <w:t>
      Корпоративная стратегия определяет краткосрочные (до года), и долгосрочные (более одного года) цели деятельности брокера и (или) дилера, Управляющего, маркетинговые планы.</w:t>
      </w:r>
    </w:p>
    <w:bookmarkStart w:name="z62" w:id="94"/>
    <w:p>
      <w:pPr>
        <w:spacing w:after="0"/>
        <w:ind w:left="0"/>
        <w:jc w:val="both"/>
      </w:pPr>
      <w:r>
        <w:rPr>
          <w:rFonts w:ascii="Times New Roman"/>
          <w:b w:val="false"/>
          <w:i w:val="false"/>
          <w:color w:val="000000"/>
          <w:sz w:val="28"/>
        </w:rPr>
        <w:t>
      19. Учетная политика брокера и (или) дилера, Управляющего составляется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bookmarkEnd w:id="94"/>
    <w:bookmarkStart w:name="z63" w:id="95"/>
    <w:p>
      <w:pPr>
        <w:spacing w:after="0"/>
        <w:ind w:left="0"/>
        <w:jc w:val="both"/>
      </w:pPr>
      <w:r>
        <w:rPr>
          <w:rFonts w:ascii="Times New Roman"/>
          <w:b w:val="false"/>
          <w:i w:val="false"/>
          <w:color w:val="000000"/>
          <w:sz w:val="28"/>
        </w:rPr>
        <w:t>
      20. Политика инвестирования активов клиентов Управляющего или брокера и (или) дилера, являющегося Управляющим, устанавливает условия и порядок осуществления деятельности по управлению активами клиентов, права и обязанности Управляющего активами клиентов, типовые формы документов, используемых в процессе деятельности по управлению активами клиентов, и включает описание процедур по:</w:t>
      </w:r>
    </w:p>
    <w:bookmarkEnd w:id="95"/>
    <w:p>
      <w:pPr>
        <w:spacing w:after="0"/>
        <w:ind w:left="0"/>
        <w:jc w:val="both"/>
      </w:pPr>
      <w:r>
        <w:rPr>
          <w:rFonts w:ascii="Times New Roman"/>
          <w:b w:val="false"/>
          <w:i w:val="false"/>
          <w:color w:val="000000"/>
          <w:sz w:val="28"/>
        </w:rPr>
        <w:t>
      1) проверке соответствия договора на управление инвестиционным портфелем требованиям законодательства Республики Казахстан о рынке ценных бумаг и инвестиционных фондах;</w:t>
      </w:r>
    </w:p>
    <w:p>
      <w:pPr>
        <w:spacing w:after="0"/>
        <w:ind w:left="0"/>
        <w:jc w:val="both"/>
      </w:pPr>
      <w:r>
        <w:rPr>
          <w:rFonts w:ascii="Times New Roman"/>
          <w:b w:val="false"/>
          <w:i w:val="false"/>
          <w:color w:val="000000"/>
          <w:sz w:val="28"/>
        </w:rPr>
        <w:t>
      2) разработке инвестиционной декларации по активам клиентов Управляющего;</w:t>
      </w:r>
    </w:p>
    <w:p>
      <w:pPr>
        <w:spacing w:after="0"/>
        <w:ind w:left="0"/>
        <w:jc w:val="both"/>
      </w:pPr>
      <w:r>
        <w:rPr>
          <w:rFonts w:ascii="Times New Roman"/>
          <w:b w:val="false"/>
          <w:i w:val="false"/>
          <w:color w:val="000000"/>
          <w:sz w:val="28"/>
        </w:rPr>
        <w:t>
      3) подготовке рекомендаций для принятия инвестиционных решений в отношении активов клиентов, предусматривающих:</w:t>
      </w:r>
    </w:p>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 за счет активов клиентов;</w:t>
      </w:r>
    </w:p>
    <w:p>
      <w:pPr>
        <w:spacing w:after="0"/>
        <w:ind w:left="0"/>
        <w:jc w:val="both"/>
      </w:pPr>
      <w:r>
        <w:rPr>
          <w:rFonts w:ascii="Times New Roman"/>
          <w:b w:val="false"/>
          <w:i w:val="false"/>
          <w:color w:val="000000"/>
          <w:sz w:val="28"/>
        </w:rPr>
        <w:t>
      порядок осуществления анализа наличия, условий выпуска и обращения и доходности финансовых инструментов, в которые предполагается осуществить инвестирование;</w:t>
      </w:r>
    </w:p>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p>
      <w:pPr>
        <w:spacing w:after="0"/>
        <w:ind w:left="0"/>
        <w:jc w:val="both"/>
      </w:pPr>
      <w:r>
        <w:rPr>
          <w:rFonts w:ascii="Times New Roman"/>
          <w:b w:val="false"/>
          <w:i w:val="false"/>
          <w:color w:val="000000"/>
          <w:sz w:val="28"/>
        </w:rPr>
        <w:t>
      порядок осуществления анализа соблюдения норм диверсификации активов;</w:t>
      </w:r>
    </w:p>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p>
      <w:pPr>
        <w:spacing w:after="0"/>
        <w:ind w:left="0"/>
        <w:jc w:val="both"/>
      </w:pPr>
      <w:r>
        <w:rPr>
          <w:rFonts w:ascii="Times New Roman"/>
          <w:b w:val="false"/>
          <w:i w:val="false"/>
          <w:color w:val="000000"/>
          <w:sz w:val="28"/>
        </w:rPr>
        <w:t>
      4) принятию инвестиционных решений в отношении активов клиентов, содержащих описание работы инвестиционного комитета Управляющего, уполномоченного на принятие инвестиционных решений, периодичность проведения и оформления результатов заседаний;</w:t>
      </w:r>
    </w:p>
    <w:p>
      <w:pPr>
        <w:spacing w:after="0"/>
        <w:ind w:left="0"/>
        <w:jc w:val="both"/>
      </w:pPr>
      <w:r>
        <w:rPr>
          <w:rFonts w:ascii="Times New Roman"/>
          <w:b w:val="false"/>
          <w:i w:val="false"/>
          <w:color w:val="000000"/>
          <w:sz w:val="28"/>
        </w:rPr>
        <w:t>
      5) взаимодействию органов и подразделений в процессе подготовки, принятия и исполнения инвестиционных решений;</w:t>
      </w:r>
    </w:p>
    <w:p>
      <w:pPr>
        <w:spacing w:after="0"/>
        <w:ind w:left="0"/>
        <w:jc w:val="both"/>
      </w:pPr>
      <w:r>
        <w:rPr>
          <w:rFonts w:ascii="Times New Roman"/>
          <w:b w:val="false"/>
          <w:i w:val="false"/>
          <w:color w:val="000000"/>
          <w:sz w:val="28"/>
        </w:rPr>
        <w:t>
      6) совершению сделок с участием активов клиентов и осуществлению контроля за совершением сделок с участием активов клиентов, в том числе на предмет предотвращения неправомерного использования активов клиентов,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активов клиентов;</w:t>
      </w:r>
    </w:p>
    <w:p>
      <w:pPr>
        <w:spacing w:after="0"/>
        <w:ind w:left="0"/>
        <w:jc w:val="both"/>
      </w:pPr>
      <w:r>
        <w:rPr>
          <w:rFonts w:ascii="Times New Roman"/>
          <w:b w:val="false"/>
          <w:i w:val="false"/>
          <w:color w:val="000000"/>
          <w:sz w:val="28"/>
        </w:rPr>
        <w:t>
      7) обеспечению достоверности учета и своевременность поступления средств на счета клиентов;</w:t>
      </w:r>
    </w:p>
    <w:p>
      <w:pPr>
        <w:spacing w:after="0"/>
        <w:ind w:left="0"/>
        <w:jc w:val="both"/>
      </w:pPr>
      <w:r>
        <w:rPr>
          <w:rFonts w:ascii="Times New Roman"/>
          <w:b w:val="false"/>
          <w:i w:val="false"/>
          <w:color w:val="000000"/>
          <w:sz w:val="28"/>
        </w:rPr>
        <w:t>
      8) обеспечению мониторинга соответствия учета активов клиента требованиям законодательства Республики Казахстан о рынке ценных бумаг и инвестиционных фондах;</w:t>
      </w:r>
    </w:p>
    <w:p>
      <w:pPr>
        <w:spacing w:after="0"/>
        <w:ind w:left="0"/>
        <w:jc w:val="both"/>
      </w:pPr>
      <w:r>
        <w:rPr>
          <w:rFonts w:ascii="Times New Roman"/>
          <w:b w:val="false"/>
          <w:i w:val="false"/>
          <w:color w:val="000000"/>
          <w:sz w:val="28"/>
        </w:rPr>
        <w:t>
      9) подготовке отчетности о результатах деятельности по управлению инвестиционным портфелем клиентов перед уполномоченным органом, Национальным Банком Республики Казахстан, соответствующими органами, клиентами, активы которых приняты в управление;</w:t>
      </w:r>
    </w:p>
    <w:p>
      <w:pPr>
        <w:spacing w:after="0"/>
        <w:ind w:left="0"/>
        <w:jc w:val="both"/>
      </w:pPr>
      <w:r>
        <w:rPr>
          <w:rFonts w:ascii="Times New Roman"/>
          <w:b w:val="false"/>
          <w:i w:val="false"/>
          <w:color w:val="000000"/>
          <w:sz w:val="28"/>
        </w:rPr>
        <w:t>
      10) обеспечению рассмотрения в установленный срок претензий клиентов по договорам на управление инвестиционным портфелем, своевременности восстановления потери инвестиций в случае операционной ошибки;</w:t>
      </w:r>
    </w:p>
    <w:p>
      <w:pPr>
        <w:spacing w:after="0"/>
        <w:ind w:left="0"/>
        <w:jc w:val="both"/>
      </w:pPr>
      <w:r>
        <w:rPr>
          <w:rFonts w:ascii="Times New Roman"/>
          <w:b w:val="false"/>
          <w:i w:val="false"/>
          <w:color w:val="000000"/>
          <w:sz w:val="28"/>
        </w:rPr>
        <w:t>
      11) внутреннему контролю за обеспечением целостности данных и конфиденциальностью информации;</w:t>
      </w:r>
    </w:p>
    <w:p>
      <w:pPr>
        <w:spacing w:after="0"/>
        <w:ind w:left="0"/>
        <w:jc w:val="both"/>
      </w:pPr>
      <w:r>
        <w:rPr>
          <w:rFonts w:ascii="Times New Roman"/>
          <w:b w:val="false"/>
          <w:i w:val="false"/>
          <w:color w:val="000000"/>
          <w:sz w:val="28"/>
        </w:rPr>
        <w:t>
      12) хеджированию финансовых инструментов, приобретенных за счет активов клиента;</w:t>
      </w:r>
    </w:p>
    <w:p>
      <w:pPr>
        <w:spacing w:after="0"/>
        <w:ind w:left="0"/>
        <w:jc w:val="both"/>
      </w:pPr>
      <w:r>
        <w:rPr>
          <w:rFonts w:ascii="Times New Roman"/>
          <w:b w:val="false"/>
          <w:i w:val="false"/>
          <w:color w:val="000000"/>
          <w:sz w:val="28"/>
        </w:rPr>
        <w:t>
      13) порядку определения и начисления вознаграждения, а также условиям предоставления данной информации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96"/>
    <w:p>
      <w:pPr>
        <w:spacing w:after="0"/>
        <w:ind w:left="0"/>
        <w:jc w:val="both"/>
      </w:pPr>
      <w:r>
        <w:rPr>
          <w:rFonts w:ascii="Times New Roman"/>
          <w:b w:val="false"/>
          <w:i w:val="false"/>
          <w:color w:val="000000"/>
          <w:sz w:val="28"/>
        </w:rPr>
        <w:t>
       21. Политика инвестирования собственных активов Управляющего или брокера и (или) дилера, являющегося Управляющим, устанавливает условия и порядок осуществления деятельности по управлению собственными активами, типовые формы документов, используемых в процессе деятельности по управлению собственными активами, и включает описание процедур по:</w:t>
      </w:r>
    </w:p>
    <w:bookmarkEnd w:id="96"/>
    <w:p>
      <w:pPr>
        <w:spacing w:after="0"/>
        <w:ind w:left="0"/>
        <w:jc w:val="both"/>
      </w:pPr>
      <w:r>
        <w:rPr>
          <w:rFonts w:ascii="Times New Roman"/>
          <w:b w:val="false"/>
          <w:i w:val="false"/>
          <w:color w:val="000000"/>
          <w:sz w:val="28"/>
        </w:rPr>
        <w:t>
      1) разработке политики инвестирования собственных активов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2) подготовке рекомендаций для принятия решений о заключении сделок с финансовыми инструментами за счет собственных средств, предусматривающих:</w:t>
      </w:r>
    </w:p>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 за счет собственных активов;</w:t>
      </w:r>
    </w:p>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p>
      <w:pPr>
        <w:spacing w:after="0"/>
        <w:ind w:left="0"/>
        <w:jc w:val="both"/>
      </w:pPr>
      <w:r>
        <w:rPr>
          <w:rFonts w:ascii="Times New Roman"/>
          <w:b w:val="false"/>
          <w:i w:val="false"/>
          <w:color w:val="000000"/>
          <w:sz w:val="28"/>
        </w:rPr>
        <w:t>
      порядок осуществления анализа соблюдения норм диверсификации активов;</w:t>
      </w:r>
    </w:p>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p>
      <w:pPr>
        <w:spacing w:after="0"/>
        <w:ind w:left="0"/>
        <w:jc w:val="both"/>
      </w:pPr>
      <w:r>
        <w:rPr>
          <w:rFonts w:ascii="Times New Roman"/>
          <w:b w:val="false"/>
          <w:i w:val="false"/>
          <w:color w:val="000000"/>
          <w:sz w:val="28"/>
        </w:rPr>
        <w:t>
      3) принятию решений о заключении сделок с финансовыми инструментами за счет собственных средств Управляющего или брокера и (или) дилера, являющегося Управляющим, содержащие описание работы инвестиционного комитета, уполномоченного на принятие таких решений, периодичность проведения и оформления результатов заседаний;</w:t>
      </w:r>
    </w:p>
    <w:p>
      <w:pPr>
        <w:spacing w:after="0"/>
        <w:ind w:left="0"/>
        <w:jc w:val="both"/>
      </w:pPr>
      <w:r>
        <w:rPr>
          <w:rFonts w:ascii="Times New Roman"/>
          <w:b w:val="false"/>
          <w:i w:val="false"/>
          <w:color w:val="000000"/>
          <w:sz w:val="28"/>
        </w:rPr>
        <w:t>
      4) взаимодействию органов и подразделений Управляющего или брокера и (или) дилера, являющегося Управляющим, в процессе подготовки, принятия и исполнения решений о заключении сделок с финансовыми инструментами за счет собственных средств;</w:t>
      </w:r>
    </w:p>
    <w:p>
      <w:pPr>
        <w:spacing w:after="0"/>
        <w:ind w:left="0"/>
        <w:jc w:val="both"/>
      </w:pPr>
      <w:r>
        <w:rPr>
          <w:rFonts w:ascii="Times New Roman"/>
          <w:b w:val="false"/>
          <w:i w:val="false"/>
          <w:color w:val="000000"/>
          <w:sz w:val="28"/>
        </w:rPr>
        <w:t>
      5) совершению сделок с участием собственных активов и осуществлению контроля за их исполнением, контролю за совершением сделок с участием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собственных активов;</w:t>
      </w:r>
    </w:p>
    <w:p>
      <w:pPr>
        <w:spacing w:after="0"/>
        <w:ind w:left="0"/>
        <w:jc w:val="both"/>
      </w:pPr>
      <w:r>
        <w:rPr>
          <w:rFonts w:ascii="Times New Roman"/>
          <w:b w:val="false"/>
          <w:i w:val="false"/>
          <w:color w:val="000000"/>
          <w:sz w:val="28"/>
        </w:rPr>
        <w:t>
      6) подготовке отчетности о результатах деятельности по управлению собственными активами перед уполномоченным органом, Национальным Банком Республики Казахстан, соответствующими органами Управляющего или брокера и (или) дилера, являющегося Управляющим.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7"/>
    <w:p>
      <w:pPr>
        <w:spacing w:after="0"/>
        <w:ind w:left="0"/>
        <w:jc w:val="both"/>
      </w:pPr>
      <w:r>
        <w:rPr>
          <w:rFonts w:ascii="Times New Roman"/>
          <w:b w:val="false"/>
          <w:i w:val="false"/>
          <w:color w:val="000000"/>
          <w:sz w:val="28"/>
        </w:rPr>
        <w:t>
       22. Политика инвестирования собственных активов брокера и (или) дилера устанавливает условия и порядок осуществления деятельности по управлению собственными активами, типовые формы документов, используемых в процессе деятельности по управлению собственными активами, и включает описание процедур по:</w:t>
      </w:r>
    </w:p>
    <w:bookmarkEnd w:id="97"/>
    <w:p>
      <w:pPr>
        <w:spacing w:after="0"/>
        <w:ind w:left="0"/>
        <w:jc w:val="both"/>
      </w:pPr>
      <w:r>
        <w:rPr>
          <w:rFonts w:ascii="Times New Roman"/>
          <w:b w:val="false"/>
          <w:i w:val="false"/>
          <w:color w:val="000000"/>
          <w:sz w:val="28"/>
        </w:rPr>
        <w:t>
      1) разработке политики инвестирования собственных активов брокера и (или) дилера;</w:t>
      </w:r>
    </w:p>
    <w:p>
      <w:pPr>
        <w:spacing w:after="0"/>
        <w:ind w:left="0"/>
        <w:jc w:val="both"/>
      </w:pPr>
      <w:r>
        <w:rPr>
          <w:rFonts w:ascii="Times New Roman"/>
          <w:b w:val="false"/>
          <w:i w:val="false"/>
          <w:color w:val="000000"/>
          <w:sz w:val="28"/>
        </w:rPr>
        <w:t>
      2) проведению анализа, необходимого для принятия решений о заключении сделок с финансовыми инструментами за счет собственных средств брокера и (или) дилера, предусматривающих:</w:t>
      </w:r>
    </w:p>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 за счет собственных активов;</w:t>
      </w:r>
    </w:p>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p>
      <w:pPr>
        <w:spacing w:after="0"/>
        <w:ind w:left="0"/>
        <w:jc w:val="both"/>
      </w:pPr>
      <w:r>
        <w:rPr>
          <w:rFonts w:ascii="Times New Roman"/>
          <w:b w:val="false"/>
          <w:i w:val="false"/>
          <w:color w:val="000000"/>
          <w:sz w:val="28"/>
        </w:rPr>
        <w:t>
      3) принятию решений о заключении сделок с финансовыми инструментами за счет собственных средств брокера и (или) дилера на коллегиальной основе;</w:t>
      </w:r>
    </w:p>
    <w:p>
      <w:pPr>
        <w:spacing w:after="0"/>
        <w:ind w:left="0"/>
        <w:jc w:val="both"/>
      </w:pPr>
      <w:r>
        <w:rPr>
          <w:rFonts w:ascii="Times New Roman"/>
          <w:b w:val="false"/>
          <w:i w:val="false"/>
          <w:color w:val="000000"/>
          <w:sz w:val="28"/>
        </w:rPr>
        <w:t>
      4) взаимодействию органов и подразделений брокера и (или) дилера в процессе подготовки, принятия и исполнения решений о заключении сделок с финансовыми инструментами за счет собственных средств;</w:t>
      </w:r>
    </w:p>
    <w:p>
      <w:pPr>
        <w:spacing w:after="0"/>
        <w:ind w:left="0"/>
        <w:jc w:val="both"/>
      </w:pPr>
      <w:r>
        <w:rPr>
          <w:rFonts w:ascii="Times New Roman"/>
          <w:b w:val="false"/>
          <w:i w:val="false"/>
          <w:color w:val="000000"/>
          <w:sz w:val="28"/>
        </w:rPr>
        <w:t>
      5) совершению сделок с участием собственных активов и осуществлению контроля за их исполнением, контролю за совершением сделок с участием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собственных активов;</w:t>
      </w:r>
    </w:p>
    <w:p>
      <w:pPr>
        <w:spacing w:after="0"/>
        <w:ind w:left="0"/>
        <w:jc w:val="both"/>
      </w:pPr>
      <w:r>
        <w:rPr>
          <w:rFonts w:ascii="Times New Roman"/>
          <w:b w:val="false"/>
          <w:i w:val="false"/>
          <w:color w:val="000000"/>
          <w:sz w:val="28"/>
        </w:rPr>
        <w:t>
      6) подготовке отчетности о результатах деятельности по управлению инвестиционным портфелем собственными активами перед органом управления (наблюдательным советом) брокера и (или) дилера.</w:t>
      </w:r>
    </w:p>
    <w:bookmarkStart w:name="z66" w:id="98"/>
    <w:p>
      <w:pPr>
        <w:spacing w:after="0"/>
        <w:ind w:left="0"/>
        <w:jc w:val="both"/>
      </w:pPr>
      <w:r>
        <w:rPr>
          <w:rFonts w:ascii="Times New Roman"/>
          <w:b w:val="false"/>
          <w:i w:val="false"/>
          <w:color w:val="000000"/>
          <w:sz w:val="28"/>
        </w:rPr>
        <w:t xml:space="preserve">
      23. Политика инвестирования собственных активов брокера и (или) дилера, Управляющего разрабатывается и утверждается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Правил.</w:t>
      </w:r>
    </w:p>
    <w:bookmarkEnd w:id="98"/>
    <w:bookmarkStart w:name="z67" w:id="99"/>
    <w:p>
      <w:pPr>
        <w:spacing w:after="0"/>
        <w:ind w:left="0"/>
        <w:jc w:val="both"/>
      </w:pPr>
      <w:r>
        <w:rPr>
          <w:rFonts w:ascii="Times New Roman"/>
          <w:b w:val="false"/>
          <w:i w:val="false"/>
          <w:color w:val="000000"/>
          <w:sz w:val="28"/>
        </w:rPr>
        <w:t>
      24. Политика брокера и (или) дилера, Управляющего по управлению рисками определяет:</w:t>
      </w:r>
    </w:p>
    <w:bookmarkEnd w:id="99"/>
    <w:p>
      <w:pPr>
        <w:spacing w:after="0"/>
        <w:ind w:left="0"/>
        <w:jc w:val="both"/>
      </w:pPr>
      <w:r>
        <w:rPr>
          <w:rFonts w:ascii="Times New Roman"/>
          <w:b w:val="false"/>
          <w:i w:val="false"/>
          <w:color w:val="000000"/>
          <w:sz w:val="28"/>
        </w:rPr>
        <w:t>
      1) полномочия и функциональные обязанности по управлению рисками членов органа управления (наблюдательного совета), членов исполнительного органа и ответственных работников брокера и (или) дилера, Управляющего;</w:t>
      </w:r>
    </w:p>
    <w:p>
      <w:pPr>
        <w:spacing w:after="0"/>
        <w:ind w:left="0"/>
        <w:jc w:val="both"/>
      </w:pPr>
      <w:r>
        <w:rPr>
          <w:rFonts w:ascii="Times New Roman"/>
          <w:b w:val="false"/>
          <w:i w:val="false"/>
          <w:color w:val="000000"/>
          <w:sz w:val="28"/>
        </w:rPr>
        <w:t>
      2) квалификационные требования к работникам подразделений, осуществляющих управление рисками и лицензируемые виды деятельности на финансовом рынке, включая, но, не ограничиваясь, требованиями по наличию образования и стажа работы;</w:t>
      </w:r>
    </w:p>
    <w:p>
      <w:pPr>
        <w:spacing w:after="0"/>
        <w:ind w:left="0"/>
        <w:jc w:val="both"/>
      </w:pPr>
      <w:r>
        <w:rPr>
          <w:rFonts w:ascii="Times New Roman"/>
          <w:b w:val="false"/>
          <w:i w:val="false"/>
          <w:color w:val="000000"/>
          <w:sz w:val="28"/>
        </w:rPr>
        <w:t>
      3) формат информации о текущем финансовом состоянии и деятельности брокера и (или) дилера, Управляющего и принятых рисках в виде определенных форм управленческой отчетности, которая идентифицирует и измеряет кредитный, процентный, валютный, страновой (трансфертный), репутационный риски, риск потери ликвидности и иные установленные риски, определяет степень подверженности рискам;</w:t>
      </w:r>
    </w:p>
    <w:p>
      <w:pPr>
        <w:spacing w:after="0"/>
        <w:ind w:left="0"/>
        <w:jc w:val="both"/>
      </w:pPr>
      <w:r>
        <w:rPr>
          <w:rFonts w:ascii="Times New Roman"/>
          <w:b w:val="false"/>
          <w:i w:val="false"/>
          <w:color w:val="000000"/>
          <w:sz w:val="28"/>
        </w:rPr>
        <w:t>
      4) наличие в составе организационной структуры брокера и (или) дилера, Управляющего отдельного подразделения по управлению рисками, не участвующего в осуществлении иных видов деятельности брокера и (или) дилера, Управляющего;</w:t>
      </w:r>
    </w:p>
    <w:p>
      <w:pPr>
        <w:spacing w:after="0"/>
        <w:ind w:left="0"/>
        <w:jc w:val="both"/>
      </w:pPr>
      <w:r>
        <w:rPr>
          <w:rFonts w:ascii="Times New Roman"/>
          <w:b w:val="false"/>
          <w:i w:val="false"/>
          <w:color w:val="000000"/>
          <w:sz w:val="28"/>
        </w:rPr>
        <w:t>
      5) два уровня контроля операций, осуществляемых в рамках лицензируемых видов деятельности, перечень которых определяется внутренними документами брокера и (или) дилера, Управляющего: работник, выполняющий операцию - первый уровень, непосредственный руководитель, контролирующий работника, выполняющего операцию, - второй уровень;</w:t>
      </w:r>
    </w:p>
    <w:p>
      <w:pPr>
        <w:spacing w:after="0"/>
        <w:ind w:left="0"/>
        <w:jc w:val="both"/>
      </w:pPr>
      <w:r>
        <w:rPr>
          <w:rFonts w:ascii="Times New Roman"/>
          <w:b w:val="false"/>
          <w:i w:val="false"/>
          <w:color w:val="000000"/>
          <w:sz w:val="28"/>
        </w:rPr>
        <w:t>
      6) процедуры постоянного мониторинга и определения эффективности принятых решений о заключении сделок с финансовыми инструментами за счет собственных средств и активов клиентов, принятых в инвестиционное управление, включая анализ транзакционных расходов, связанных с исполнением таких решений;</w:t>
      </w:r>
    </w:p>
    <w:p>
      <w:pPr>
        <w:spacing w:after="0"/>
        <w:ind w:left="0"/>
        <w:jc w:val="both"/>
      </w:pPr>
      <w:r>
        <w:rPr>
          <w:rFonts w:ascii="Times New Roman"/>
          <w:b w:val="false"/>
          <w:i w:val="false"/>
          <w:color w:val="000000"/>
          <w:sz w:val="28"/>
        </w:rPr>
        <w:t>
      7) порядок действий в случае наступления событий, которые оказывают влияние на значительное ухудшение финансового состояния брокера и (или) дилера, Управляющего и (или) на его способность отвечать по своим обязательствам;</w:t>
      </w:r>
    </w:p>
    <w:p>
      <w:pPr>
        <w:spacing w:after="0"/>
        <w:ind w:left="0"/>
        <w:jc w:val="both"/>
      </w:pPr>
      <w:r>
        <w:rPr>
          <w:rFonts w:ascii="Times New Roman"/>
          <w:b w:val="false"/>
          <w:i w:val="false"/>
          <w:color w:val="000000"/>
          <w:sz w:val="28"/>
        </w:rPr>
        <w:t>
      8) порядок осуществления операционной (текущей) деятельности брокера и (или) дилера, Управляющего и бухгалтерского учета, определяющий:</w:t>
      </w:r>
    </w:p>
    <w:p>
      <w:pPr>
        <w:spacing w:after="0"/>
        <w:ind w:left="0"/>
        <w:jc w:val="both"/>
      </w:pPr>
      <w:r>
        <w:rPr>
          <w:rFonts w:ascii="Times New Roman"/>
          <w:b w:val="false"/>
          <w:i w:val="false"/>
          <w:color w:val="000000"/>
          <w:sz w:val="28"/>
        </w:rPr>
        <w:t>
      подразделения, обеспечивающие осуществление операционной (текущей) деятельности брокера и (или) дилера, Управляющего, их функции, обязанности и полномочия;</w:t>
      </w:r>
    </w:p>
    <w:p>
      <w:pPr>
        <w:spacing w:after="0"/>
        <w:ind w:left="0"/>
        <w:jc w:val="both"/>
      </w:pPr>
      <w:r>
        <w:rPr>
          <w:rFonts w:ascii="Times New Roman"/>
          <w:b w:val="false"/>
          <w:i w:val="false"/>
          <w:color w:val="000000"/>
          <w:sz w:val="28"/>
        </w:rPr>
        <w:t>
      технический порядок проведения операций;</w:t>
      </w:r>
    </w:p>
    <w:p>
      <w:pPr>
        <w:spacing w:after="0"/>
        <w:ind w:left="0"/>
        <w:jc w:val="both"/>
      </w:pPr>
      <w:r>
        <w:rPr>
          <w:rFonts w:ascii="Times New Roman"/>
          <w:b w:val="false"/>
          <w:i w:val="false"/>
          <w:color w:val="000000"/>
          <w:sz w:val="28"/>
        </w:rPr>
        <w:t>
      систему бухгалтерского учета операций брокера и (или) дилера, Управляющего;</w:t>
      </w:r>
    </w:p>
    <w:p>
      <w:pPr>
        <w:spacing w:after="0"/>
        <w:ind w:left="0"/>
        <w:jc w:val="both"/>
      </w:pPr>
      <w:r>
        <w:rPr>
          <w:rFonts w:ascii="Times New Roman"/>
          <w:b w:val="false"/>
          <w:i w:val="false"/>
          <w:color w:val="000000"/>
          <w:sz w:val="28"/>
        </w:rPr>
        <w:t>
      систему документооборота и делопроизводства брокера и (или) дилера, Управляющего;</w:t>
      </w:r>
    </w:p>
    <w:p>
      <w:pPr>
        <w:spacing w:after="0"/>
        <w:ind w:left="0"/>
        <w:jc w:val="both"/>
      </w:pPr>
      <w:r>
        <w:rPr>
          <w:rFonts w:ascii="Times New Roman"/>
          <w:b w:val="false"/>
          <w:i w:val="false"/>
          <w:color w:val="000000"/>
          <w:sz w:val="28"/>
        </w:rPr>
        <w:t>
      процедуры по предотвращению рисков нарушения порядка осуществления операционной (текущей) деятельности брокера и (или) дилера, Управляющего:</w:t>
      </w:r>
    </w:p>
    <w:p>
      <w:pPr>
        <w:spacing w:after="0"/>
        <w:ind w:left="0"/>
        <w:jc w:val="both"/>
      </w:pPr>
      <w:r>
        <w:rPr>
          <w:rFonts w:ascii="Times New Roman"/>
          <w:b w:val="false"/>
          <w:i w:val="false"/>
          <w:color w:val="000000"/>
          <w:sz w:val="28"/>
        </w:rPr>
        <w:t>
      ограничивающие возможность неправильного проведения и недостоверного отражения в учете совершенных операций с финансовыми инструментами;</w:t>
      </w:r>
    </w:p>
    <w:p>
      <w:pPr>
        <w:spacing w:after="0"/>
        <w:ind w:left="0"/>
        <w:jc w:val="both"/>
      </w:pPr>
      <w:r>
        <w:rPr>
          <w:rFonts w:ascii="Times New Roman"/>
          <w:b w:val="false"/>
          <w:i w:val="false"/>
          <w:color w:val="000000"/>
          <w:sz w:val="28"/>
        </w:rPr>
        <w:t>
      обеспечивающие безопасность проведения операций, а именно выявление и предотвращение случаев злоупотребления при осуществлении операций с доходами и принятии риска, неадекватного размеру собственного капитала и доходов;</w:t>
      </w:r>
    </w:p>
    <w:p>
      <w:pPr>
        <w:spacing w:after="0"/>
        <w:ind w:left="0"/>
        <w:jc w:val="both"/>
      </w:pPr>
      <w:r>
        <w:rPr>
          <w:rFonts w:ascii="Times New Roman"/>
          <w:b w:val="false"/>
          <w:i w:val="false"/>
          <w:color w:val="000000"/>
          <w:sz w:val="28"/>
        </w:rPr>
        <w:t>
      обеспечивающие бесперебойное функционирование системы электронной обработки и наличие у лиц, осуществляющих контроль системы электронной обработки данных и отвечающих за вопросы обработки данных, квалификации и опыта, соответствующих профилю работы;</w:t>
      </w:r>
    </w:p>
    <w:p>
      <w:pPr>
        <w:spacing w:after="0"/>
        <w:ind w:left="0"/>
        <w:jc w:val="both"/>
      </w:pPr>
      <w:r>
        <w:rPr>
          <w:rFonts w:ascii="Times New Roman"/>
          <w:b w:val="false"/>
          <w:i w:val="false"/>
          <w:color w:val="000000"/>
          <w:sz w:val="28"/>
        </w:rPr>
        <w:t>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 в том числе электронных ключей к информационным базам данных;</w:t>
      </w:r>
    </w:p>
    <w:p>
      <w:pPr>
        <w:spacing w:after="0"/>
        <w:ind w:left="0"/>
        <w:jc w:val="both"/>
      </w:pPr>
      <w:r>
        <w:rPr>
          <w:rFonts w:ascii="Times New Roman"/>
          <w:b w:val="false"/>
          <w:i w:val="false"/>
          <w:color w:val="000000"/>
          <w:sz w:val="28"/>
        </w:rPr>
        <w:t>
      направленные на выполнение плановых мероприятий, в том числе при форс-мажорных обстоятельствах по обеспечению сохранности информационных систем баз данных, предусматривающих:</w:t>
      </w:r>
    </w:p>
    <w:p>
      <w:pPr>
        <w:spacing w:after="0"/>
        <w:ind w:left="0"/>
        <w:jc w:val="both"/>
      </w:pPr>
      <w:r>
        <w:rPr>
          <w:rFonts w:ascii="Times New Roman"/>
          <w:b w:val="false"/>
          <w:i w:val="false"/>
          <w:color w:val="000000"/>
          <w:sz w:val="28"/>
        </w:rPr>
        <w:t>
      наличие обособленных помещений для технических комплексов информационных баз данных, отвечающих требованиям пожарной безопасности и сейсмоустойчивости, автономного электропитания, резервных компьютеров и сетевых коммуникаций, регулярного формирования резервных копий системно-важных программных файлов и файлов данных;</w:t>
      </w:r>
    </w:p>
    <w:p>
      <w:pPr>
        <w:spacing w:after="0"/>
        <w:ind w:left="0"/>
        <w:jc w:val="both"/>
      </w:pPr>
      <w:r>
        <w:rPr>
          <w:rFonts w:ascii="Times New Roman"/>
          <w:b w:val="false"/>
          <w:i w:val="false"/>
          <w:color w:val="000000"/>
          <w:sz w:val="28"/>
        </w:rPr>
        <w:t>
      делегирование полномочий и ответственность в случае возникновения форс-мажорных обстоятельств;</w:t>
      </w:r>
    </w:p>
    <w:p>
      <w:pPr>
        <w:spacing w:after="0"/>
        <w:ind w:left="0"/>
        <w:jc w:val="both"/>
      </w:pPr>
      <w:r>
        <w:rPr>
          <w:rFonts w:ascii="Times New Roman"/>
          <w:b w:val="false"/>
          <w:i w:val="false"/>
          <w:color w:val="000000"/>
          <w:sz w:val="28"/>
        </w:rPr>
        <w:t>
      определение действий при наступлении форс-мажорных обстоятельств, предусматривающих правила и руководства для компьютерного центра в случае чрезвычайного сбоя в работе системы;</w:t>
      </w:r>
    </w:p>
    <w:p>
      <w:pPr>
        <w:spacing w:after="0"/>
        <w:ind w:left="0"/>
        <w:jc w:val="both"/>
      </w:pPr>
      <w:r>
        <w:rPr>
          <w:rFonts w:ascii="Times New Roman"/>
          <w:b w:val="false"/>
          <w:i w:val="false"/>
          <w:color w:val="000000"/>
          <w:sz w:val="28"/>
        </w:rPr>
        <w:t>
      предотвращение сбоев с помощью регулярных инспекций оборудования и проверки отчетов о работе подразделением информационного обеспечения;</w:t>
      </w:r>
    </w:p>
    <w:p>
      <w:pPr>
        <w:spacing w:after="0"/>
        <w:ind w:left="0"/>
        <w:jc w:val="both"/>
      </w:pPr>
      <w:r>
        <w:rPr>
          <w:rFonts w:ascii="Times New Roman"/>
          <w:b w:val="false"/>
          <w:i w:val="false"/>
          <w:color w:val="000000"/>
          <w:sz w:val="28"/>
        </w:rPr>
        <w:t>
      установление порядка планирования, разработки и функционирования систем электронной обработки данных.</w:t>
      </w:r>
    </w:p>
    <w:bookmarkStart w:name="z68" w:id="100"/>
    <w:p>
      <w:pPr>
        <w:spacing w:after="0"/>
        <w:ind w:left="0"/>
        <w:jc w:val="both"/>
      </w:pPr>
      <w:r>
        <w:rPr>
          <w:rFonts w:ascii="Times New Roman"/>
          <w:b w:val="false"/>
          <w:i w:val="false"/>
          <w:color w:val="000000"/>
          <w:sz w:val="28"/>
        </w:rPr>
        <w:t xml:space="preserve">
      25. Политика по управлению рисками Управляющего, в дополнение к перечню сведений, установленных </w:t>
      </w:r>
      <w:r>
        <w:rPr>
          <w:rFonts w:ascii="Times New Roman"/>
          <w:b w:val="false"/>
          <w:i w:val="false"/>
          <w:color w:val="000000"/>
          <w:sz w:val="28"/>
        </w:rPr>
        <w:t>пунктом 24</w:t>
      </w:r>
      <w:r>
        <w:rPr>
          <w:rFonts w:ascii="Times New Roman"/>
          <w:b w:val="false"/>
          <w:i w:val="false"/>
          <w:color w:val="000000"/>
          <w:sz w:val="28"/>
        </w:rPr>
        <w:t xml:space="preserve"> Правил, определяет:</w:t>
      </w:r>
    </w:p>
    <w:bookmarkEnd w:id="100"/>
    <w:p>
      <w:pPr>
        <w:spacing w:after="0"/>
        <w:ind w:left="0"/>
        <w:jc w:val="both"/>
      </w:pPr>
      <w:r>
        <w:rPr>
          <w:rFonts w:ascii="Times New Roman"/>
          <w:b w:val="false"/>
          <w:i w:val="false"/>
          <w:color w:val="000000"/>
          <w:sz w:val="28"/>
        </w:rPr>
        <w:t>
      1) процедуры по идентификации, оценке, мониторингу и контролю рисков, присущих лицензируемому виду деятельности, в том числе:</w:t>
      </w:r>
    </w:p>
    <w:p>
      <w:pPr>
        <w:spacing w:after="0"/>
        <w:ind w:left="0"/>
        <w:jc w:val="both"/>
      </w:pPr>
      <w:r>
        <w:rPr>
          <w:rFonts w:ascii="Times New Roman"/>
          <w:b w:val="false"/>
          <w:i w:val="false"/>
          <w:color w:val="000000"/>
          <w:sz w:val="28"/>
        </w:rPr>
        <w:t>
      методику оценки рисков с использованием международной практики оценки финансовых инструментов по предполагаемому риску (VAR-модель);</w:t>
      </w:r>
    </w:p>
    <w:p>
      <w:pPr>
        <w:spacing w:after="0"/>
        <w:ind w:left="0"/>
        <w:jc w:val="both"/>
      </w:pPr>
      <w:r>
        <w:rPr>
          <w:rFonts w:ascii="Times New Roman"/>
          <w:b w:val="false"/>
          <w:i w:val="false"/>
          <w:color w:val="000000"/>
          <w:sz w:val="28"/>
        </w:rPr>
        <w:t>
      порядок измерения рисков, включая риски, присущие операциям с производными финансовыми инструментами, описание используемых моделей измерения риска;</w:t>
      </w:r>
    </w:p>
    <w:p>
      <w:pPr>
        <w:spacing w:after="0"/>
        <w:ind w:left="0"/>
        <w:jc w:val="both"/>
      </w:pPr>
      <w:r>
        <w:rPr>
          <w:rFonts w:ascii="Times New Roman"/>
          <w:b w:val="false"/>
          <w:i w:val="false"/>
          <w:color w:val="000000"/>
          <w:sz w:val="28"/>
        </w:rPr>
        <w:t>
      процедуры определения стоимости финансового инструмента с учетом влияющих на нее рисков;</w:t>
      </w:r>
    </w:p>
    <w:p>
      <w:pPr>
        <w:spacing w:after="0"/>
        <w:ind w:left="0"/>
        <w:jc w:val="both"/>
      </w:pPr>
      <w:r>
        <w:rPr>
          <w:rFonts w:ascii="Times New Roman"/>
          <w:b w:val="false"/>
          <w:i w:val="false"/>
          <w:color w:val="000000"/>
          <w:sz w:val="28"/>
        </w:rPr>
        <w:t>
      2) порядок осуществления контроля за выполнением установленных в отношении активов клиентов, принятых в инвестиционное управление, и собственных активов лимитов инвестирования с указанием перечня должностей лиц, ответственных за осуществление контроля;</w:t>
      </w:r>
    </w:p>
    <w:p>
      <w:pPr>
        <w:spacing w:after="0"/>
        <w:ind w:left="0"/>
        <w:jc w:val="both"/>
      </w:pPr>
      <w:r>
        <w:rPr>
          <w:rFonts w:ascii="Times New Roman"/>
          <w:b w:val="false"/>
          <w:i w:val="false"/>
          <w:color w:val="000000"/>
          <w:sz w:val="28"/>
        </w:rPr>
        <w:t>
      3) правила установления и контроля за выполнением лимитов "stop-loss", "take-profit", с указанием перечня должностей лиц, ответственных за осуществление контроля;</w:t>
      </w:r>
    </w:p>
    <w:p>
      <w:pPr>
        <w:spacing w:after="0"/>
        <w:ind w:left="0"/>
        <w:jc w:val="both"/>
      </w:pPr>
      <w:r>
        <w:rPr>
          <w:rFonts w:ascii="Times New Roman"/>
          <w:b w:val="false"/>
          <w:i w:val="false"/>
          <w:color w:val="000000"/>
          <w:sz w:val="28"/>
        </w:rPr>
        <w:t>
      4) процедуры структурирования инвестиционного портфеля в целях поддержания стабильных показателей инвестиционной рентабельности в средне- и долгосрочной перспективе, включая правила установления максимального допустимого размера убытков по активам клиентов, принятых в инвестиционное управление, и контроля за его выполнением, с указанием перечня должностей лиц, ответственных за осуществление контроля;</w:t>
      </w:r>
    </w:p>
    <w:p>
      <w:pPr>
        <w:spacing w:after="0"/>
        <w:ind w:left="0"/>
        <w:jc w:val="both"/>
      </w:pPr>
      <w:r>
        <w:rPr>
          <w:rFonts w:ascii="Times New Roman"/>
          <w:b w:val="false"/>
          <w:i w:val="false"/>
          <w:color w:val="000000"/>
          <w:sz w:val="28"/>
        </w:rPr>
        <w:t>
      5) порядок инициирования внесения изменений в инвестиционную декларацию и пересмотра лимитов инвестирования, лимитов "stop-loss" и "take-profit" в случае нарастания рисков, связанных с инвестированием активов клиентов, принятых в инвестиционное управление, и собственных активов;</w:t>
      </w:r>
    </w:p>
    <w:p>
      <w:pPr>
        <w:spacing w:after="0"/>
        <w:ind w:left="0"/>
        <w:jc w:val="both"/>
      </w:pPr>
      <w:r>
        <w:rPr>
          <w:rFonts w:ascii="Times New Roman"/>
          <w:b w:val="false"/>
          <w:i w:val="false"/>
          <w:color w:val="000000"/>
          <w:sz w:val="28"/>
        </w:rPr>
        <w:t>
      6) систему контроля за деятельностью подразделений, осуществляющих функции по заключению сделок за счет активов клиентов, принятых в инвестиционное управление, и (или) собственных активов и учету активов клиентов, принятых в инвестиционное управление и (или) собственных активов, основанную на разделении функциональных обязанностей по заключению сделок и отражению совершенных операций в учете. Система контроля предусматривает:</w:t>
      </w:r>
    </w:p>
    <w:p>
      <w:pPr>
        <w:spacing w:after="0"/>
        <w:ind w:left="0"/>
        <w:jc w:val="both"/>
      </w:pPr>
      <w:r>
        <w:rPr>
          <w:rFonts w:ascii="Times New Roman"/>
          <w:b w:val="false"/>
          <w:i w:val="false"/>
          <w:color w:val="000000"/>
          <w:sz w:val="28"/>
        </w:rPr>
        <w:t>
      установление функции подразделения, осуществляющего управление рисками, по контролю за соответствием параметров планируемых к заключению сделок лимитам инвестирования;</w:t>
      </w:r>
    </w:p>
    <w:p>
      <w:pPr>
        <w:spacing w:after="0"/>
        <w:ind w:left="0"/>
        <w:jc w:val="both"/>
      </w:pP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p>
    <w:p>
      <w:pPr>
        <w:spacing w:after="0"/>
        <w:ind w:left="0"/>
        <w:jc w:val="both"/>
      </w:pPr>
      <w:r>
        <w:rPr>
          <w:rFonts w:ascii="Times New Roman"/>
          <w:b w:val="false"/>
          <w:i w:val="false"/>
          <w:color w:val="000000"/>
          <w:sz w:val="28"/>
        </w:rPr>
        <w:t>
      установление функции подразделения, осуществляющего заключение сделок за счет активов клиентов, принятых в инвестиционное управление, и (или) собственных активов, по заключению сделок исключительно в соответствии с параметрами, указанными в инвестиционном решении;</w:t>
      </w:r>
    </w:p>
    <w:p>
      <w:pPr>
        <w:spacing w:after="0"/>
        <w:ind w:left="0"/>
        <w:jc w:val="both"/>
      </w:pP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и (или) собственных активов, по контролю за соответствием параметров исполненных сделок условиям инвестиционного решения о заключении сделок за счет собственных средств и активов клиентов, принятых в инвестиционное управление;</w:t>
      </w:r>
    </w:p>
    <w:p>
      <w:pPr>
        <w:spacing w:after="0"/>
        <w:ind w:left="0"/>
        <w:jc w:val="both"/>
      </w:pP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по контролю за предотвращением случаев неправомерного использования активов клиентов;</w:t>
      </w:r>
    </w:p>
    <w:p>
      <w:pPr>
        <w:spacing w:after="0"/>
        <w:ind w:left="0"/>
        <w:jc w:val="both"/>
      </w:pPr>
      <w:r>
        <w:rPr>
          <w:rFonts w:ascii="Times New Roman"/>
          <w:b w:val="false"/>
          <w:i w:val="false"/>
          <w:color w:val="000000"/>
          <w:sz w:val="28"/>
        </w:rPr>
        <w:t>
      наличие мер, ограничивающих возможность сговора между участниками системы контроля.</w:t>
      </w:r>
    </w:p>
    <w:bookmarkStart w:name="z69" w:id="101"/>
    <w:p>
      <w:pPr>
        <w:spacing w:after="0"/>
        <w:ind w:left="0"/>
        <w:jc w:val="both"/>
      </w:pPr>
      <w:r>
        <w:rPr>
          <w:rFonts w:ascii="Times New Roman"/>
          <w:b w:val="false"/>
          <w:i w:val="false"/>
          <w:color w:val="000000"/>
          <w:sz w:val="28"/>
        </w:rPr>
        <w:t xml:space="preserve">
      26. Политика по управлению рисками брокера и (или) дилера, в дополнение к перечню сведений, установленных </w:t>
      </w:r>
      <w:r>
        <w:rPr>
          <w:rFonts w:ascii="Times New Roman"/>
          <w:b w:val="false"/>
          <w:i w:val="false"/>
          <w:color w:val="000000"/>
          <w:sz w:val="28"/>
        </w:rPr>
        <w:t>пунктом 24</w:t>
      </w:r>
      <w:r>
        <w:rPr>
          <w:rFonts w:ascii="Times New Roman"/>
          <w:b w:val="false"/>
          <w:i w:val="false"/>
          <w:color w:val="000000"/>
          <w:sz w:val="28"/>
        </w:rPr>
        <w:t xml:space="preserve"> Правил, определяет систему контроля за деятельностью подразделений, осуществляющих функции по заключению сделок с финансовыми инструментами, которая предусматривает:</w:t>
      </w:r>
    </w:p>
    <w:bookmarkEnd w:id="101"/>
    <w:p>
      <w:pPr>
        <w:spacing w:after="0"/>
        <w:ind w:left="0"/>
        <w:jc w:val="both"/>
      </w:pP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p>
    <w:p>
      <w:pPr>
        <w:spacing w:after="0"/>
        <w:ind w:left="0"/>
        <w:jc w:val="both"/>
      </w:pPr>
      <w:r>
        <w:rPr>
          <w:rFonts w:ascii="Times New Roman"/>
          <w:b w:val="false"/>
          <w:i w:val="false"/>
          <w:color w:val="000000"/>
          <w:sz w:val="28"/>
        </w:rPr>
        <w:t>
      установление функции подразделения, осуществляющего заключение сделок с финансовыми инструментами за счет активов клиентов и (или) собственных активов, по заключению сделок в соответствии с параметрами, указанными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p>
    <w:p>
      <w:pPr>
        <w:spacing w:after="0"/>
        <w:ind w:left="0"/>
        <w:jc w:val="both"/>
      </w:pPr>
      <w:r>
        <w:rPr>
          <w:rFonts w:ascii="Times New Roman"/>
          <w:b w:val="false"/>
          <w:i w:val="false"/>
          <w:color w:val="000000"/>
          <w:sz w:val="28"/>
        </w:rPr>
        <w:t>
      определение порядка осуществления двойного контроля правильности совершения операций по купле-продаже финансовых инструментов, основанного на разделении функциональных обязанностей, в частности между подразделением, которое заключает сделки с финансовыми инструментами, и подразделением, которое занимается отражением указанных операций в учете.</w:t>
      </w:r>
    </w:p>
    <w:p>
      <w:pPr>
        <w:spacing w:after="0"/>
        <w:ind w:left="0"/>
        <w:jc w:val="both"/>
      </w:pPr>
      <w:r>
        <w:rPr>
          <w:rFonts w:ascii="Times New Roman"/>
          <w:b w:val="false"/>
          <w:i w:val="false"/>
          <w:color w:val="000000"/>
          <w:sz w:val="28"/>
        </w:rPr>
        <w:t>
      Система двойного контроля предусматривает:</w:t>
      </w:r>
    </w:p>
    <w:p>
      <w:pPr>
        <w:spacing w:after="0"/>
        <w:ind w:left="0"/>
        <w:jc w:val="both"/>
      </w:pP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соответствием параметров исполненных сделок условиям, указанным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p>
    <w:p>
      <w:pPr>
        <w:spacing w:after="0"/>
        <w:ind w:left="0"/>
        <w:jc w:val="both"/>
      </w:pP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предотвращением случаев неправомерного использования активов клиентов;</w:t>
      </w:r>
    </w:p>
    <w:p>
      <w:pPr>
        <w:spacing w:after="0"/>
        <w:ind w:left="0"/>
        <w:jc w:val="both"/>
      </w:pPr>
      <w:r>
        <w:rPr>
          <w:rFonts w:ascii="Times New Roman"/>
          <w:b w:val="false"/>
          <w:i w:val="false"/>
          <w:color w:val="000000"/>
          <w:sz w:val="28"/>
        </w:rPr>
        <w:t>
      меры ограничения возможного сговора между участниками системы двойного контроля;</w:t>
      </w:r>
    </w:p>
    <w:p>
      <w:pPr>
        <w:spacing w:after="0"/>
        <w:ind w:left="0"/>
        <w:jc w:val="both"/>
      </w:pPr>
      <w:r>
        <w:rPr>
          <w:rFonts w:ascii="Times New Roman"/>
          <w:b w:val="false"/>
          <w:i w:val="false"/>
          <w:color w:val="000000"/>
          <w:sz w:val="28"/>
        </w:rPr>
        <w:t>
      запрет на исполнение одним и тем же лицом обязанностей одновременно в подразделении, которое заключает сделки с финансовыми инструментами, и подразделении, которое занимается отражением указанных операций в учете.</w:t>
      </w:r>
    </w:p>
    <w:bookmarkStart w:name="z70" w:id="102"/>
    <w:p>
      <w:pPr>
        <w:spacing w:after="0"/>
        <w:ind w:left="0"/>
        <w:jc w:val="both"/>
      </w:pPr>
      <w:r>
        <w:rPr>
          <w:rFonts w:ascii="Times New Roman"/>
          <w:b w:val="false"/>
          <w:i w:val="false"/>
          <w:color w:val="000000"/>
          <w:sz w:val="28"/>
        </w:rPr>
        <w:t xml:space="preserve">
      27. Политика по управлению рисками организации, совмещающей брокерскую и (или) дилерскую деятельность с деятельностью по управлению инвестиционным портфелем, в дополнение к перечню сведений, установленных </w:t>
      </w:r>
      <w:r>
        <w:rPr>
          <w:rFonts w:ascii="Times New Roman"/>
          <w:b w:val="false"/>
          <w:i w:val="false"/>
          <w:color w:val="000000"/>
          <w:sz w:val="28"/>
        </w:rPr>
        <w:t>пунктом 24</w:t>
      </w:r>
      <w:r>
        <w:rPr>
          <w:rFonts w:ascii="Times New Roman"/>
          <w:b w:val="false"/>
          <w:i w:val="false"/>
          <w:color w:val="000000"/>
          <w:sz w:val="28"/>
        </w:rPr>
        <w:t xml:space="preserve"> Правил, также определяет процедуры, установленные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Правил.</w:t>
      </w:r>
    </w:p>
    <w:bookmarkEnd w:id="102"/>
    <w:bookmarkStart w:name="z71" w:id="103"/>
    <w:p>
      <w:pPr>
        <w:spacing w:after="0"/>
        <w:ind w:left="0"/>
        <w:jc w:val="both"/>
      </w:pPr>
      <w:r>
        <w:rPr>
          <w:rFonts w:ascii="Times New Roman"/>
          <w:b w:val="false"/>
          <w:i w:val="false"/>
          <w:color w:val="000000"/>
          <w:sz w:val="28"/>
        </w:rPr>
        <w:t>
      28. Процедуры осуществления анализа и мониторинга контрпартнеров и клиентов брокера и (или) дилера, Управляющего определяют комплекс мер, направленных на проведение брокером и (или) дилером, Управляющим комплексной проверки контрпартнеров и клиентов до установления деловых отношений (до заключения договора) и в процессе дальнейшего взаимодействия с ними для получения информации о каждом контрпартнере и клиенте в целях идентификации потенциальных угроз.</w:t>
      </w:r>
    </w:p>
    <w:bookmarkEnd w:id="103"/>
    <w:p>
      <w:pPr>
        <w:spacing w:after="0"/>
        <w:ind w:left="0"/>
        <w:jc w:val="both"/>
      </w:pPr>
      <w:r>
        <w:rPr>
          <w:rFonts w:ascii="Times New Roman"/>
          <w:b w:val="false"/>
          <w:i w:val="false"/>
          <w:color w:val="000000"/>
          <w:sz w:val="28"/>
        </w:rPr>
        <w:t>
      Комплексная проверка брокера и (или) дилера, Управляющего своих контрпартнеров и клиентов включает осуществление следующих мер:</w:t>
      </w:r>
    </w:p>
    <w:p>
      <w:pPr>
        <w:spacing w:after="0"/>
        <w:ind w:left="0"/>
        <w:jc w:val="both"/>
      </w:pPr>
      <w:r>
        <w:rPr>
          <w:rFonts w:ascii="Times New Roman"/>
          <w:b w:val="false"/>
          <w:i w:val="false"/>
          <w:color w:val="000000"/>
          <w:sz w:val="28"/>
        </w:rPr>
        <w:t>
      установление предполагаемой цели и характера деловых отношений;</w:t>
      </w:r>
    </w:p>
    <w:p>
      <w:pPr>
        <w:spacing w:after="0"/>
        <w:ind w:left="0"/>
        <w:jc w:val="both"/>
      </w:pPr>
      <w:r>
        <w:rPr>
          <w:rFonts w:ascii="Times New Roman"/>
          <w:b w:val="false"/>
          <w:i w:val="false"/>
          <w:color w:val="000000"/>
          <w:sz w:val="28"/>
        </w:rPr>
        <w:t>
      фиксирование сведений, необходимых для идентификации лица, являющегося потенциальным или фактическим контрпартнером или клиентом;</w:t>
      </w:r>
    </w:p>
    <w:p>
      <w:pPr>
        <w:spacing w:after="0"/>
        <w:ind w:left="0"/>
        <w:jc w:val="both"/>
      </w:pPr>
      <w:r>
        <w:rPr>
          <w:rFonts w:ascii="Times New Roman"/>
          <w:b w:val="false"/>
          <w:i w:val="false"/>
          <w:color w:val="000000"/>
          <w:sz w:val="28"/>
        </w:rPr>
        <w:t>
      проведение мониторинга платежеспособности контрпартнера в целях определения его способности отвечать по своим обязательствам перед брокером и (или) дилером или Управляющим, являющимся брокером и (или) дилером;</w:t>
      </w:r>
    </w:p>
    <w:p>
      <w:pPr>
        <w:spacing w:after="0"/>
        <w:ind w:left="0"/>
        <w:jc w:val="both"/>
      </w:pPr>
      <w:r>
        <w:rPr>
          <w:rFonts w:ascii="Times New Roman"/>
          <w:b w:val="false"/>
          <w:i w:val="false"/>
          <w:color w:val="000000"/>
          <w:sz w:val="28"/>
        </w:rPr>
        <w:t>
      проведения мониторинга и анализа финансового состояния клиентов, заключивших договор на брокерское обслуживание;</w:t>
      </w:r>
    </w:p>
    <w:p>
      <w:pPr>
        <w:spacing w:after="0"/>
        <w:ind w:left="0"/>
        <w:jc w:val="both"/>
      </w:pPr>
      <w:r>
        <w:rPr>
          <w:rFonts w:ascii="Times New Roman"/>
          <w:b w:val="false"/>
          <w:i w:val="false"/>
          <w:color w:val="000000"/>
          <w:sz w:val="28"/>
        </w:rPr>
        <w:t>
      ранжирования клиентов, заключивших договор на брокерское обслуживание, в разрезе категорий, предусматривающих определение степени надежности (платежеспособности) клиентов;</w:t>
      </w:r>
    </w:p>
    <w:p>
      <w:pPr>
        <w:spacing w:after="0"/>
        <w:ind w:left="0"/>
        <w:jc w:val="both"/>
      </w:pPr>
      <w:r>
        <w:rPr>
          <w:rFonts w:ascii="Times New Roman"/>
          <w:b w:val="false"/>
          <w:i w:val="false"/>
          <w:color w:val="000000"/>
          <w:sz w:val="28"/>
        </w:rPr>
        <w:t>
      ограничение возможности заключения сделок за счет клиентских активов, в случае наличия риска неплатежеспособности со стороны клиентов посредством установления лимитов на одного клиента по объему сделок, повышения ограничительного уровня маржи в отношении клиентов, установления требования к полному или частичному преддепонированию ценных бумаг и (или) денег клиентов на лицевых и (или) банковских счетах или осуществления иных действий, предусмотренных договором на брокерское обслуживание.</w:t>
      </w:r>
    </w:p>
    <w:bookmarkStart w:name="z72" w:id="104"/>
    <w:p>
      <w:pPr>
        <w:spacing w:after="0"/>
        <w:ind w:left="0"/>
        <w:jc w:val="both"/>
      </w:pPr>
      <w:r>
        <w:rPr>
          <w:rFonts w:ascii="Times New Roman"/>
          <w:b w:val="false"/>
          <w:i w:val="false"/>
          <w:color w:val="000000"/>
          <w:sz w:val="28"/>
        </w:rPr>
        <w:t>
      29. Порядок оценки финансового состояния и ранжирования клиентов разрабатывается брокером и (или) дилером или Управляющим, являющимся брокером и (или) дилером, в целях своевременного выявления рисков неплатежеспособности и включает в себя:</w:t>
      </w:r>
    </w:p>
    <w:bookmarkEnd w:id="104"/>
    <w:p>
      <w:pPr>
        <w:spacing w:after="0"/>
        <w:ind w:left="0"/>
        <w:jc w:val="both"/>
      </w:pPr>
      <w:r>
        <w:rPr>
          <w:rFonts w:ascii="Times New Roman"/>
          <w:b w:val="false"/>
          <w:i w:val="false"/>
          <w:color w:val="000000"/>
          <w:sz w:val="28"/>
        </w:rPr>
        <w:t xml:space="preserve">
      1) перечень информации и показателей, используемых для оценки финансового состояния клиентов, в том числе указанных в </w:t>
      </w:r>
      <w:r>
        <w:rPr>
          <w:rFonts w:ascii="Times New Roman"/>
          <w:b w:val="false"/>
          <w:i w:val="false"/>
          <w:color w:val="000000"/>
          <w:sz w:val="28"/>
        </w:rPr>
        <w:t>пункте 71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методику оценки финансового состояния клиентов;</w:t>
      </w:r>
    </w:p>
    <w:p>
      <w:pPr>
        <w:spacing w:after="0"/>
        <w:ind w:left="0"/>
        <w:jc w:val="both"/>
      </w:pPr>
      <w:r>
        <w:rPr>
          <w:rFonts w:ascii="Times New Roman"/>
          <w:b w:val="false"/>
          <w:i w:val="false"/>
          <w:color w:val="000000"/>
          <w:sz w:val="28"/>
        </w:rPr>
        <w:t>
      3) методику ранжирования клиентов в разрезе категорий, предусматривающих определение степени надежности (платежеспособности) клиентов, начиная с категории клиентов с высокой степенью надежности (платежеспособности) и заканчивая категорией клиентов с низкой степенью надежности (платежеспособности);</w:t>
      </w:r>
    </w:p>
    <w:p>
      <w:pPr>
        <w:spacing w:after="0"/>
        <w:ind w:left="0"/>
        <w:jc w:val="both"/>
      </w:pPr>
      <w:r>
        <w:rPr>
          <w:rFonts w:ascii="Times New Roman"/>
          <w:b w:val="false"/>
          <w:i w:val="false"/>
          <w:color w:val="000000"/>
          <w:sz w:val="28"/>
        </w:rPr>
        <w:t>
      4) порядок и периодичность представления (но не реже одного раза в год) отчетов исполнительному органу брокера и (или) дилера или Управляющего, являющегося брокером и (или) дилером, о результатах оценки финансового состояния и ранжирования клиентов.</w:t>
      </w:r>
    </w:p>
    <w:bookmarkStart w:name="z73" w:id="105"/>
    <w:p>
      <w:pPr>
        <w:spacing w:after="0"/>
        <w:ind w:left="0"/>
        <w:jc w:val="both"/>
      </w:pPr>
      <w:r>
        <w:rPr>
          <w:rFonts w:ascii="Times New Roman"/>
          <w:b w:val="false"/>
          <w:i w:val="false"/>
          <w:color w:val="000000"/>
          <w:sz w:val="28"/>
        </w:rPr>
        <w:t>
      30. Порядок и условия ограничения рисков неплатежеспособности, брокером и (или) дилером или Управляющим, являющимся брокером и (или) дилером включают в себя:</w:t>
      </w:r>
    </w:p>
    <w:bookmarkEnd w:id="105"/>
    <w:p>
      <w:pPr>
        <w:spacing w:after="0"/>
        <w:ind w:left="0"/>
        <w:jc w:val="both"/>
      </w:pPr>
      <w:r>
        <w:rPr>
          <w:rFonts w:ascii="Times New Roman"/>
          <w:b w:val="false"/>
          <w:i w:val="false"/>
          <w:color w:val="000000"/>
          <w:sz w:val="28"/>
        </w:rPr>
        <w:t>
      1) перечень лимитов, ограничений и запретов, предусмотренных в целях ограничения рисков неплатежеспособности, включающих, но не ограничивающихся:</w:t>
      </w:r>
    </w:p>
    <w:p>
      <w:pPr>
        <w:spacing w:after="0"/>
        <w:ind w:left="0"/>
        <w:jc w:val="both"/>
      </w:pPr>
      <w:r>
        <w:rPr>
          <w:rFonts w:ascii="Times New Roman"/>
          <w:b w:val="false"/>
          <w:i w:val="false"/>
          <w:color w:val="000000"/>
          <w:sz w:val="28"/>
        </w:rPr>
        <w:t>
      лимиты на одного клиента по объему сделок;</w:t>
      </w:r>
    </w:p>
    <w:p>
      <w:pPr>
        <w:spacing w:after="0"/>
        <w:ind w:left="0"/>
        <w:jc w:val="both"/>
      </w:pPr>
      <w:r>
        <w:rPr>
          <w:rFonts w:ascii="Times New Roman"/>
          <w:b w:val="false"/>
          <w:i w:val="false"/>
          <w:color w:val="000000"/>
          <w:sz w:val="28"/>
        </w:rPr>
        <w:t>
      полное или частичное преддепонирование ценных бумаг и (или) денег клиентов на лицевых и (или) банковских счетах;</w:t>
      </w:r>
    </w:p>
    <w:p>
      <w:pPr>
        <w:spacing w:after="0"/>
        <w:ind w:left="0"/>
        <w:jc w:val="both"/>
      </w:pPr>
      <w:r>
        <w:rPr>
          <w:rFonts w:ascii="Times New Roman"/>
          <w:b w:val="false"/>
          <w:i w:val="false"/>
          <w:color w:val="000000"/>
          <w:sz w:val="28"/>
        </w:rPr>
        <w:t>
      2) порядок и условия применения ограничений, предусмотренных подпунктом 1) настоящего пункта, в отношении клиентов.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106"/>
    <w:p>
      <w:pPr>
        <w:spacing w:after="0"/>
        <w:ind w:left="0"/>
        <w:jc w:val="both"/>
      </w:pPr>
      <w:r>
        <w:rPr>
          <w:rFonts w:ascii="Times New Roman"/>
          <w:b w:val="false"/>
          <w:i w:val="false"/>
          <w:color w:val="000000"/>
          <w:sz w:val="28"/>
        </w:rPr>
        <w:t>
      30-1. Порядок совершения маржинальных сделок разрабатывается брокером и (или) дилером или Управляющим, являющимся брокером и (или) дилером, и определяет:</w:t>
      </w:r>
    </w:p>
    <w:bookmarkEnd w:id="106"/>
    <w:bookmarkStart w:name="z459" w:id="107"/>
    <w:p>
      <w:pPr>
        <w:spacing w:after="0"/>
        <w:ind w:left="0"/>
        <w:jc w:val="both"/>
      </w:pPr>
      <w:r>
        <w:rPr>
          <w:rFonts w:ascii="Times New Roman"/>
          <w:b w:val="false"/>
          <w:i w:val="false"/>
          <w:color w:val="000000"/>
          <w:sz w:val="28"/>
        </w:rPr>
        <w:t>
      1) порядок и условия исполнения поручений клиента на заключение маржинальных сделок;</w:t>
      </w:r>
    </w:p>
    <w:bookmarkEnd w:id="107"/>
    <w:bookmarkStart w:name="z460" w:id="108"/>
    <w:p>
      <w:pPr>
        <w:spacing w:after="0"/>
        <w:ind w:left="0"/>
        <w:jc w:val="both"/>
      </w:pPr>
      <w:r>
        <w:rPr>
          <w:rFonts w:ascii="Times New Roman"/>
          <w:b w:val="false"/>
          <w:i w:val="false"/>
          <w:color w:val="000000"/>
          <w:sz w:val="28"/>
        </w:rPr>
        <w:t>
      2) порядок расчета и значения ограничительного уровня маржи в отношении каждой категории клиентов, видов финансовых инструментов, являющихся предметом маржинальных сделок, и рынков, на которых заключается маржинальная сделка;</w:t>
      </w:r>
    </w:p>
    <w:bookmarkEnd w:id="108"/>
    <w:bookmarkStart w:name="z461" w:id="109"/>
    <w:p>
      <w:pPr>
        <w:spacing w:after="0"/>
        <w:ind w:left="0"/>
        <w:jc w:val="both"/>
      </w:pPr>
      <w:r>
        <w:rPr>
          <w:rFonts w:ascii="Times New Roman"/>
          <w:b w:val="false"/>
          <w:i w:val="false"/>
          <w:color w:val="000000"/>
          <w:sz w:val="28"/>
        </w:rPr>
        <w:t>
      3) порядок управления рисками, возникающими при заключении маржинальных сделок;</w:t>
      </w:r>
    </w:p>
    <w:bookmarkEnd w:id="109"/>
    <w:bookmarkStart w:name="z462" w:id="110"/>
    <w:p>
      <w:pPr>
        <w:spacing w:after="0"/>
        <w:ind w:left="0"/>
        <w:jc w:val="both"/>
      </w:pPr>
      <w:r>
        <w:rPr>
          <w:rFonts w:ascii="Times New Roman"/>
          <w:b w:val="false"/>
          <w:i w:val="false"/>
          <w:color w:val="000000"/>
          <w:sz w:val="28"/>
        </w:rPr>
        <w:t>
      4) действия брокера в случае снижения стоимости обеспечения по маржинальной сделке ниже ограничительного и (или) минимально допустимого уровня.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1"/>
    <w:p>
      <w:pPr>
        <w:spacing w:after="0"/>
        <w:ind w:left="0"/>
        <w:jc w:val="both"/>
      </w:pPr>
      <w:r>
        <w:rPr>
          <w:rFonts w:ascii="Times New Roman"/>
          <w:b w:val="false"/>
          <w:i w:val="false"/>
          <w:color w:val="000000"/>
          <w:sz w:val="28"/>
        </w:rPr>
        <w:t>
      31. Правила обеспечения информационной безопасности включают процедуры по обеспечению сохранности сведений, составляющих коммерческую и служебную тайну на рынке ценных бумаг, и недопущению их использования в собственных интересах брокера и (или) дилера, Управляющего, их работников или третьих лиц.</w:t>
      </w:r>
    </w:p>
    <w:bookmarkEnd w:id="111"/>
    <w:p>
      <w:pPr>
        <w:spacing w:after="0"/>
        <w:ind w:left="0"/>
        <w:jc w:val="both"/>
      </w:pPr>
      <w:r>
        <w:rPr>
          <w:rFonts w:ascii="Times New Roman"/>
          <w:b w:val="false"/>
          <w:i w:val="false"/>
          <w:color w:val="000000"/>
          <w:sz w:val="28"/>
        </w:rPr>
        <w:t>
      Правила обеспечения информационной безопасности определяют:</w:t>
      </w:r>
    </w:p>
    <w:p>
      <w:pPr>
        <w:spacing w:after="0"/>
        <w:ind w:left="0"/>
        <w:jc w:val="both"/>
      </w:pPr>
      <w:r>
        <w:rPr>
          <w:rFonts w:ascii="Times New Roman"/>
          <w:b w:val="false"/>
          <w:i w:val="false"/>
          <w:color w:val="000000"/>
          <w:sz w:val="28"/>
        </w:rPr>
        <w:t xml:space="preserve">
      перечень информации, охраняемой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относящейся к коммерческой тайне;</w:t>
      </w:r>
    </w:p>
    <w:p>
      <w:pPr>
        <w:spacing w:after="0"/>
        <w:ind w:left="0"/>
        <w:jc w:val="both"/>
      </w:pPr>
      <w:r>
        <w:rPr>
          <w:rFonts w:ascii="Times New Roman"/>
          <w:b w:val="false"/>
          <w:i w:val="false"/>
          <w:color w:val="000000"/>
          <w:sz w:val="28"/>
        </w:rPr>
        <w:t>
      порядок составления, оформления, регистрации, учета и хранения документов, содержащих информацию, указанную в абзаце втором части второй настоящего пункта;</w:t>
      </w:r>
    </w:p>
    <w:p>
      <w:pPr>
        <w:spacing w:after="0"/>
        <w:ind w:left="0"/>
        <w:jc w:val="both"/>
      </w:pPr>
      <w:r>
        <w:rPr>
          <w:rFonts w:ascii="Times New Roman"/>
          <w:b w:val="false"/>
          <w:i w:val="false"/>
          <w:color w:val="000000"/>
          <w:sz w:val="28"/>
        </w:rPr>
        <w:t>
      порядок допуска к информации, указанной в абзаце втором части второй настоящего пункта, с указанием должностей лиц, которые допускаются к данной информации;</w:t>
      </w:r>
    </w:p>
    <w:p>
      <w:pPr>
        <w:spacing w:after="0"/>
        <w:ind w:left="0"/>
        <w:jc w:val="both"/>
      </w:pPr>
      <w:r>
        <w:rPr>
          <w:rFonts w:ascii="Times New Roman"/>
          <w:b w:val="false"/>
          <w:i w:val="false"/>
          <w:color w:val="000000"/>
          <w:sz w:val="28"/>
        </w:rPr>
        <w:t>
      механизмы предотвращения утечки информации, указанной в абзаце втором части второй настоящего пункта, и искажения информационных данных, предусматривающие:</w:t>
      </w:r>
    </w:p>
    <w:p>
      <w:pPr>
        <w:spacing w:after="0"/>
        <w:ind w:left="0"/>
        <w:jc w:val="both"/>
      </w:pPr>
      <w:r>
        <w:rPr>
          <w:rFonts w:ascii="Times New Roman"/>
          <w:b w:val="false"/>
          <w:i w:val="false"/>
          <w:color w:val="000000"/>
          <w:sz w:val="28"/>
        </w:rPr>
        <w:t>
      перечень информационных данных, имеющих ограниченный доступ;</w:t>
      </w:r>
    </w:p>
    <w:p>
      <w:pPr>
        <w:spacing w:after="0"/>
        <w:ind w:left="0"/>
        <w:jc w:val="both"/>
      </w:pPr>
      <w:r>
        <w:rPr>
          <w:rFonts w:ascii="Times New Roman"/>
          <w:b w:val="false"/>
          <w:i w:val="false"/>
          <w:color w:val="000000"/>
          <w:sz w:val="28"/>
        </w:rPr>
        <w:t>
      порядок получения доступа;</w:t>
      </w:r>
    </w:p>
    <w:p>
      <w:pPr>
        <w:spacing w:after="0"/>
        <w:ind w:left="0"/>
        <w:jc w:val="both"/>
      </w:pPr>
      <w:r>
        <w:rPr>
          <w:rFonts w:ascii="Times New Roman"/>
          <w:b w:val="false"/>
          <w:i w:val="false"/>
          <w:color w:val="000000"/>
          <w:sz w:val="28"/>
        </w:rPr>
        <w:t>
      порядок контроля доступа к информационным данным, перечня должностей лиц, имеющих доступ к информационным данным;</w:t>
      </w:r>
    </w:p>
    <w:p>
      <w:pPr>
        <w:spacing w:after="0"/>
        <w:ind w:left="0"/>
        <w:jc w:val="both"/>
      </w:pPr>
      <w:r>
        <w:rPr>
          <w:rFonts w:ascii="Times New Roman"/>
          <w:b w:val="false"/>
          <w:i w:val="false"/>
          <w:color w:val="000000"/>
          <w:sz w:val="28"/>
        </w:rPr>
        <w:t>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 позволяющей идентифицировать личность пользователя.</w:t>
      </w:r>
    </w:p>
    <w:bookmarkStart w:name="z75" w:id="112"/>
    <w:p>
      <w:pPr>
        <w:spacing w:after="0"/>
        <w:ind w:left="0"/>
        <w:jc w:val="both"/>
      </w:pPr>
      <w:r>
        <w:rPr>
          <w:rFonts w:ascii="Times New Roman"/>
          <w:b w:val="false"/>
          <w:i w:val="false"/>
          <w:color w:val="000000"/>
          <w:sz w:val="28"/>
        </w:rPr>
        <w:t>
      32. Правила расчета и начисления вознаграждения за оказание брокером и (или) дилером, Управляющим финансовых услуг, определяют:</w:t>
      </w:r>
    </w:p>
    <w:bookmarkEnd w:id="112"/>
    <w:p>
      <w:pPr>
        <w:spacing w:after="0"/>
        <w:ind w:left="0"/>
        <w:jc w:val="both"/>
      </w:pPr>
      <w:r>
        <w:rPr>
          <w:rFonts w:ascii="Times New Roman"/>
          <w:b w:val="false"/>
          <w:i w:val="false"/>
          <w:color w:val="000000"/>
          <w:sz w:val="28"/>
        </w:rPr>
        <w:t>
      1) предельные величины вознаграждения брокера и (или) дилера, Управляющего;</w:t>
      </w:r>
    </w:p>
    <w:p>
      <w:pPr>
        <w:spacing w:after="0"/>
        <w:ind w:left="0"/>
        <w:jc w:val="both"/>
      </w:pPr>
      <w:r>
        <w:rPr>
          <w:rFonts w:ascii="Times New Roman"/>
          <w:b w:val="false"/>
          <w:i w:val="false"/>
          <w:color w:val="000000"/>
          <w:sz w:val="28"/>
        </w:rPr>
        <w:t>
      2) порядок и частоту изменения величины вознаграждения;</w:t>
      </w:r>
    </w:p>
    <w:p>
      <w:pPr>
        <w:spacing w:after="0"/>
        <w:ind w:left="0"/>
        <w:jc w:val="both"/>
      </w:pPr>
      <w:r>
        <w:rPr>
          <w:rFonts w:ascii="Times New Roman"/>
          <w:b w:val="false"/>
          <w:i w:val="false"/>
          <w:color w:val="000000"/>
          <w:sz w:val="28"/>
        </w:rPr>
        <w:t>
      3) порядок начисления вознаграждения;</w:t>
      </w:r>
    </w:p>
    <w:p>
      <w:pPr>
        <w:spacing w:after="0"/>
        <w:ind w:left="0"/>
        <w:jc w:val="both"/>
      </w:pPr>
      <w:r>
        <w:rPr>
          <w:rFonts w:ascii="Times New Roman"/>
          <w:b w:val="false"/>
          <w:i w:val="false"/>
          <w:color w:val="000000"/>
          <w:sz w:val="28"/>
        </w:rPr>
        <w:t>
      4) условия введения ограничений на размеры вознаграждений, получаемых брокером и (или) дилером, Управляющим в соответствии с договором, заключенным с клиентом.</w:t>
      </w:r>
    </w:p>
    <w:bookmarkStart w:name="z76" w:id="113"/>
    <w:p>
      <w:pPr>
        <w:spacing w:after="0"/>
        <w:ind w:left="0"/>
        <w:jc w:val="both"/>
      </w:pPr>
      <w:r>
        <w:rPr>
          <w:rFonts w:ascii="Times New Roman"/>
          <w:b w:val="false"/>
          <w:i w:val="false"/>
          <w:color w:val="000000"/>
          <w:sz w:val="28"/>
        </w:rPr>
        <w:t>
      33. Процедуры осуществления внутреннего аудита и внутреннего контроля определяют:</w:t>
      </w:r>
    </w:p>
    <w:bookmarkEnd w:id="113"/>
    <w:p>
      <w:pPr>
        <w:spacing w:after="0"/>
        <w:ind w:left="0"/>
        <w:jc w:val="both"/>
      </w:pPr>
      <w:r>
        <w:rPr>
          <w:rFonts w:ascii="Times New Roman"/>
          <w:b w:val="false"/>
          <w:i w:val="false"/>
          <w:color w:val="000000"/>
          <w:sz w:val="28"/>
        </w:rPr>
        <w:t>
      1) состав службы внутреннего аудита, ее функции, обязанности и полномочия;</w:t>
      </w:r>
    </w:p>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p>
      <w:pPr>
        <w:spacing w:after="0"/>
        <w:ind w:left="0"/>
        <w:jc w:val="both"/>
      </w:pPr>
      <w:r>
        <w:rPr>
          <w:rFonts w:ascii="Times New Roman"/>
          <w:b w:val="false"/>
          <w:i w:val="false"/>
          <w:color w:val="000000"/>
          <w:sz w:val="28"/>
        </w:rPr>
        <w:t>
      3) предмет и объект внутреннего аудита и внутреннего контроля;</w:t>
      </w:r>
    </w:p>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w:t>
      </w:r>
    </w:p>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органу управления (наблюдательному совету) и исполнительному органу брокера и (или) дилера, Управляющего.</w:t>
      </w:r>
    </w:p>
    <w:bookmarkStart w:name="z77" w:id="114"/>
    <w:p>
      <w:pPr>
        <w:spacing w:after="0"/>
        <w:ind w:left="0"/>
        <w:jc w:val="both"/>
      </w:pPr>
      <w:r>
        <w:rPr>
          <w:rFonts w:ascii="Times New Roman"/>
          <w:b w:val="false"/>
          <w:i w:val="false"/>
          <w:color w:val="000000"/>
          <w:sz w:val="28"/>
        </w:rPr>
        <w:t>
      34. Политика управления существующим и потенциальным конфликтом интересов, включает:</w:t>
      </w:r>
    </w:p>
    <w:bookmarkEnd w:id="114"/>
    <w:p>
      <w:pPr>
        <w:spacing w:after="0"/>
        <w:ind w:left="0"/>
        <w:jc w:val="both"/>
      </w:pPr>
      <w:r>
        <w:rPr>
          <w:rFonts w:ascii="Times New Roman"/>
          <w:b w:val="false"/>
          <w:i w:val="false"/>
          <w:color w:val="000000"/>
          <w:sz w:val="28"/>
        </w:rPr>
        <w:t>
      1) определение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p>
    <w:p>
      <w:pPr>
        <w:spacing w:after="0"/>
        <w:ind w:left="0"/>
        <w:jc w:val="both"/>
      </w:pPr>
      <w:r>
        <w:rPr>
          <w:rFonts w:ascii="Times New Roman"/>
          <w:b w:val="false"/>
          <w:i w:val="false"/>
          <w:color w:val="000000"/>
          <w:sz w:val="28"/>
        </w:rPr>
        <w:t>
      2) принципы деятельности должностных лиц и работников брокера и (или) дилера, Управляющего при возникновении ситуаций, указанных в подпункте 1) настоящего пункта;</w:t>
      </w:r>
    </w:p>
    <w:p>
      <w:pPr>
        <w:spacing w:after="0"/>
        <w:ind w:left="0"/>
        <w:jc w:val="both"/>
      </w:pPr>
      <w:r>
        <w:rPr>
          <w:rFonts w:ascii="Times New Roman"/>
          <w:b w:val="false"/>
          <w:i w:val="false"/>
          <w:color w:val="000000"/>
          <w:sz w:val="28"/>
        </w:rPr>
        <w:t>
      3) порядок осуществления сбора, хранения и мониторинга сведений в целях выявления и описания ситуаций, указанных в подпункте 1) настоящего пункта, в процессе деятельности органов, подразделений, должностных лиц и работников брокера и (или) дилера, Управляющего;</w:t>
      </w:r>
    </w:p>
    <w:p>
      <w:pPr>
        <w:spacing w:after="0"/>
        <w:ind w:left="0"/>
        <w:jc w:val="both"/>
      </w:pPr>
      <w:r>
        <w:rPr>
          <w:rFonts w:ascii="Times New Roman"/>
          <w:b w:val="false"/>
          <w:i w:val="false"/>
          <w:color w:val="000000"/>
          <w:sz w:val="28"/>
        </w:rPr>
        <w:t>
      4) процедуры принятия решений органами брокера и (или) дилера, Управляющего, направленные на обеспечение независимости и объективности принимаемых решений, включая ограничение права участия в принятии решений должностных лиц и работников брокера и (или) дилера, Управляющего, при возникновении ситуаций, указанных в подпункте 1) настоящего пункта.</w:t>
      </w:r>
    </w:p>
    <w:bookmarkStart w:name="z78" w:id="115"/>
    <w:p>
      <w:pPr>
        <w:spacing w:after="0"/>
        <w:ind w:left="0"/>
        <w:jc w:val="both"/>
      </w:pPr>
      <w:r>
        <w:rPr>
          <w:rFonts w:ascii="Times New Roman"/>
          <w:b w:val="false"/>
          <w:i w:val="false"/>
          <w:color w:val="000000"/>
          <w:sz w:val="28"/>
        </w:rPr>
        <w:t>
      35. Правила ведения журналов учета содержат:</w:t>
      </w:r>
    </w:p>
    <w:bookmarkEnd w:id="115"/>
    <w:p>
      <w:pPr>
        <w:spacing w:after="0"/>
        <w:ind w:left="0"/>
        <w:jc w:val="both"/>
      </w:pPr>
      <w:r>
        <w:rPr>
          <w:rFonts w:ascii="Times New Roman"/>
          <w:b w:val="false"/>
          <w:i w:val="false"/>
          <w:color w:val="000000"/>
          <w:sz w:val="28"/>
        </w:rPr>
        <w:t>
      1) количество и наименование журналов;</w:t>
      </w:r>
    </w:p>
    <w:p>
      <w:pPr>
        <w:spacing w:after="0"/>
        <w:ind w:left="0"/>
        <w:jc w:val="both"/>
      </w:pPr>
      <w:r>
        <w:rPr>
          <w:rFonts w:ascii="Times New Roman"/>
          <w:b w:val="false"/>
          <w:i w:val="false"/>
          <w:color w:val="000000"/>
          <w:sz w:val="28"/>
        </w:rPr>
        <w:t>
      2) порядок и периодичность заполнения журналов;</w:t>
      </w:r>
    </w:p>
    <w:p>
      <w:pPr>
        <w:spacing w:after="0"/>
        <w:ind w:left="0"/>
        <w:jc w:val="both"/>
      </w:pPr>
      <w:r>
        <w:rPr>
          <w:rFonts w:ascii="Times New Roman"/>
          <w:b w:val="false"/>
          <w:i w:val="false"/>
          <w:color w:val="000000"/>
          <w:sz w:val="28"/>
        </w:rPr>
        <w:t>
      3) перечень должностей руководящих работников, осуществляющих контроль за своевременным и точным заполнением журналов.</w:t>
      </w:r>
    </w:p>
    <w:bookmarkStart w:name="z79" w:id="116"/>
    <w:p>
      <w:pPr>
        <w:spacing w:after="0"/>
        <w:ind w:left="0"/>
        <w:jc w:val="both"/>
      </w:pPr>
      <w:r>
        <w:rPr>
          <w:rFonts w:ascii="Times New Roman"/>
          <w:b w:val="false"/>
          <w:i w:val="false"/>
          <w:color w:val="000000"/>
          <w:sz w:val="28"/>
        </w:rPr>
        <w:t>
      36. Инструкция по технике безопасности включает:</w:t>
      </w:r>
    </w:p>
    <w:bookmarkEnd w:id="116"/>
    <w:p>
      <w:pPr>
        <w:spacing w:after="0"/>
        <w:ind w:left="0"/>
        <w:jc w:val="both"/>
      </w:pPr>
      <w:r>
        <w:rPr>
          <w:rFonts w:ascii="Times New Roman"/>
          <w:b w:val="false"/>
          <w:i w:val="false"/>
          <w:color w:val="000000"/>
          <w:sz w:val="28"/>
        </w:rPr>
        <w:t>
      1) основные требования по пожарной безопасности;</w:t>
      </w:r>
    </w:p>
    <w:p>
      <w:pPr>
        <w:spacing w:after="0"/>
        <w:ind w:left="0"/>
        <w:jc w:val="both"/>
      </w:pPr>
      <w:r>
        <w:rPr>
          <w:rFonts w:ascii="Times New Roman"/>
          <w:b w:val="false"/>
          <w:i w:val="false"/>
          <w:color w:val="000000"/>
          <w:sz w:val="28"/>
        </w:rPr>
        <w:t>
      2) описание действий работников брокера и (или) дилера, Управляющего в случае наступления форс-мажорных обстоятельств;</w:t>
      </w:r>
    </w:p>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брокера и (или) дилера, Управляющего;</w:t>
      </w:r>
    </w:p>
    <w:p>
      <w:pPr>
        <w:spacing w:after="0"/>
        <w:ind w:left="0"/>
        <w:jc w:val="both"/>
      </w:pPr>
      <w:r>
        <w:rPr>
          <w:rFonts w:ascii="Times New Roman"/>
          <w:b w:val="false"/>
          <w:i w:val="false"/>
          <w:color w:val="000000"/>
          <w:sz w:val="28"/>
        </w:rPr>
        <w:t>
      4) последовательность осмотра помещений брокера и (или) дилера, Управляющего перед их закрытием.</w:t>
      </w:r>
    </w:p>
    <w:bookmarkStart w:name="z80" w:id="117"/>
    <w:p>
      <w:pPr>
        <w:spacing w:after="0"/>
        <w:ind w:left="0"/>
        <w:jc w:val="left"/>
      </w:pPr>
      <w:r>
        <w:rPr>
          <w:rFonts w:ascii="Times New Roman"/>
          <w:b/>
          <w:i w:val="false"/>
          <w:color w:val="000000"/>
        </w:rPr>
        <w:t xml:space="preserve"> Глава 4. Требования к организации деятельности по управлению активами клиентов, принятыми в инвестиционное управление, и собственными активами брокера и (или) дилера и Управляющего</w:t>
      </w:r>
    </w:p>
    <w:bookmarkEnd w:id="117"/>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118"/>
    <w:p>
      <w:pPr>
        <w:spacing w:after="0"/>
        <w:ind w:left="0"/>
        <w:jc w:val="both"/>
      </w:pPr>
      <w:r>
        <w:rPr>
          <w:rFonts w:ascii="Times New Roman"/>
          <w:b w:val="false"/>
          <w:i w:val="false"/>
          <w:color w:val="000000"/>
          <w:sz w:val="28"/>
        </w:rPr>
        <w:t>
      37. В целях обеспечения инвестиционного управления активами клиентов, за исключением инвестиционных фондов, договор на управление инвестиционным портфелем или инвестиционная декларация, включает, но не ограничивается следующим:</w:t>
      </w:r>
    </w:p>
    <w:bookmarkEnd w:id="118"/>
    <w:p>
      <w:pPr>
        <w:spacing w:after="0"/>
        <w:ind w:left="0"/>
        <w:jc w:val="both"/>
      </w:pPr>
      <w:r>
        <w:rPr>
          <w:rFonts w:ascii="Times New Roman"/>
          <w:b w:val="false"/>
          <w:i w:val="false"/>
          <w:color w:val="000000"/>
          <w:sz w:val="28"/>
        </w:rPr>
        <w:t>
      1) цели и стратегии инвестирования активов клиентов;</w:t>
      </w:r>
    </w:p>
    <w:p>
      <w:pPr>
        <w:spacing w:after="0"/>
        <w:ind w:left="0"/>
        <w:jc w:val="both"/>
      </w:pPr>
      <w:r>
        <w:rPr>
          <w:rFonts w:ascii="Times New Roman"/>
          <w:b w:val="false"/>
          <w:i w:val="false"/>
          <w:color w:val="000000"/>
          <w:sz w:val="28"/>
        </w:rPr>
        <w:t>
      2) описание и перечень объектов инвестирования;</w:t>
      </w:r>
    </w:p>
    <w:p>
      <w:pPr>
        <w:spacing w:after="0"/>
        <w:ind w:left="0"/>
        <w:jc w:val="both"/>
      </w:pPr>
      <w:r>
        <w:rPr>
          <w:rFonts w:ascii="Times New Roman"/>
          <w:b w:val="false"/>
          <w:i w:val="false"/>
          <w:color w:val="000000"/>
          <w:sz w:val="28"/>
        </w:rPr>
        <w:t>
      3) лимиты инвестирования активов клиентов по видам финансовых инструментов и доле открытой валютной позиции;</w:t>
      </w:r>
    </w:p>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 включая максимальный допустимый размер убытка по активам клиента, принятым в инвестиционное управление;</w:t>
      </w:r>
    </w:p>
    <w:p>
      <w:pPr>
        <w:spacing w:after="0"/>
        <w:ind w:left="0"/>
        <w:jc w:val="both"/>
      </w:pPr>
      <w:r>
        <w:rPr>
          <w:rFonts w:ascii="Times New Roman"/>
          <w:b w:val="false"/>
          <w:i w:val="false"/>
          <w:color w:val="000000"/>
          <w:sz w:val="28"/>
        </w:rPr>
        <w:t>
      5) условия хеджирования и диверсификации активов клиентов с указанием перечня и описания инструментов хеджирования;</w:t>
      </w:r>
    </w:p>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p>
      <w:pPr>
        <w:spacing w:after="0"/>
        <w:ind w:left="0"/>
        <w:jc w:val="both"/>
      </w:pPr>
      <w:r>
        <w:rPr>
          <w:rFonts w:ascii="Times New Roman"/>
          <w:b w:val="false"/>
          <w:i w:val="false"/>
          <w:color w:val="000000"/>
          <w:sz w:val="28"/>
        </w:rPr>
        <w:t>
      7) политику начисления вознаграждения.</w:t>
      </w:r>
    </w:p>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и венчурных фондах".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19"/>
    <w:p>
      <w:pPr>
        <w:spacing w:after="0"/>
        <w:ind w:left="0"/>
        <w:jc w:val="both"/>
      </w:pPr>
      <w:r>
        <w:rPr>
          <w:rFonts w:ascii="Times New Roman"/>
          <w:b w:val="false"/>
          <w:i w:val="false"/>
          <w:color w:val="000000"/>
          <w:sz w:val="28"/>
        </w:rPr>
        <w:t xml:space="preserve">
      38. В целях обеспечения управления собственными активами брокера и (или) дилера, Управляющего разрабатывается политика инвестирования собственных активов брокера и (или) дилера, Управляющего, включающая кроме положений, предусмотренных </w:t>
      </w:r>
      <w:r>
        <w:rPr>
          <w:rFonts w:ascii="Times New Roman"/>
          <w:b w:val="false"/>
          <w:i w:val="false"/>
          <w:color w:val="000000"/>
          <w:sz w:val="28"/>
        </w:rPr>
        <w:t>пунктами 21</w:t>
      </w:r>
      <w:r>
        <w:rPr>
          <w:rFonts w:ascii="Times New Roman"/>
          <w:b w:val="false"/>
          <w:i w:val="false"/>
          <w:color w:val="000000"/>
          <w:sz w:val="28"/>
        </w:rPr>
        <w:t xml:space="preserve"> и (или) </w:t>
      </w:r>
      <w:r>
        <w:rPr>
          <w:rFonts w:ascii="Times New Roman"/>
          <w:b w:val="false"/>
          <w:i w:val="false"/>
          <w:color w:val="000000"/>
          <w:sz w:val="28"/>
        </w:rPr>
        <w:t>22</w:t>
      </w:r>
      <w:r>
        <w:rPr>
          <w:rFonts w:ascii="Times New Roman"/>
          <w:b w:val="false"/>
          <w:i w:val="false"/>
          <w:color w:val="000000"/>
          <w:sz w:val="28"/>
        </w:rPr>
        <w:t xml:space="preserve"> Правил, следующее:</w:t>
      </w:r>
    </w:p>
    <w:bookmarkEnd w:id="119"/>
    <w:p>
      <w:pPr>
        <w:spacing w:after="0"/>
        <w:ind w:left="0"/>
        <w:jc w:val="both"/>
      </w:pPr>
      <w:r>
        <w:rPr>
          <w:rFonts w:ascii="Times New Roman"/>
          <w:b w:val="false"/>
          <w:i w:val="false"/>
          <w:color w:val="000000"/>
          <w:sz w:val="28"/>
        </w:rPr>
        <w:t>
      1) цели и стратегии инвестирования собственных активов;</w:t>
      </w:r>
    </w:p>
    <w:p>
      <w:pPr>
        <w:spacing w:after="0"/>
        <w:ind w:left="0"/>
        <w:jc w:val="both"/>
      </w:pPr>
      <w:r>
        <w:rPr>
          <w:rFonts w:ascii="Times New Roman"/>
          <w:b w:val="false"/>
          <w:i w:val="false"/>
          <w:color w:val="000000"/>
          <w:sz w:val="28"/>
        </w:rPr>
        <w:t>
      2) описание и перечень объектов инвестирования;</w:t>
      </w:r>
    </w:p>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 и доле открытой валютной позиции;</w:t>
      </w:r>
    </w:p>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Start w:name="z83" w:id="120"/>
    <w:p>
      <w:pPr>
        <w:spacing w:after="0"/>
        <w:ind w:left="0"/>
        <w:jc w:val="both"/>
      </w:pPr>
      <w:r>
        <w:rPr>
          <w:rFonts w:ascii="Times New Roman"/>
          <w:b w:val="false"/>
          <w:i w:val="false"/>
          <w:color w:val="000000"/>
          <w:sz w:val="28"/>
        </w:rPr>
        <w:t>
      39. Политика инвестирования собственных активов брокера и (или) дилера, Управляющего и все изменения и дополнения в нее утверждаются органом управления (наблюдательным советом) брокера и (или) дилера, Управляющего после согласования с исполнительным органом брокера и (или) дилера, Управляющего и инвестиционным комитетом Управляющего.</w:t>
      </w:r>
    </w:p>
    <w:bookmarkEnd w:id="120"/>
    <w:bookmarkStart w:name="z84" w:id="121"/>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121"/>
    <w:bookmarkStart w:name="z505" w:id="122"/>
    <w:p>
      <w:pPr>
        <w:spacing w:after="0"/>
        <w:ind w:left="0"/>
        <w:jc w:val="both"/>
      </w:pPr>
      <w:r>
        <w:rPr>
          <w:rFonts w:ascii="Times New Roman"/>
          <w:b w:val="false"/>
          <w:i w:val="false"/>
          <w:color w:val="000000"/>
          <w:sz w:val="28"/>
        </w:rPr>
        <w:t>
      1) не реже одного раза в полугодие:</w:t>
      </w:r>
    </w:p>
    <w:bookmarkEnd w:id="122"/>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отрасли экономики;</w:t>
      </w:r>
    </w:p>
    <w:bookmarkStart w:name="z506" w:id="123"/>
    <w:p>
      <w:pPr>
        <w:spacing w:after="0"/>
        <w:ind w:left="0"/>
        <w:jc w:val="both"/>
      </w:pPr>
      <w:r>
        <w:rPr>
          <w:rFonts w:ascii="Times New Roman"/>
          <w:b w:val="false"/>
          <w:i w:val="false"/>
          <w:color w:val="000000"/>
          <w:sz w:val="28"/>
        </w:rPr>
        <w:t>
      2) не реже одного раза в квартал:</w:t>
      </w:r>
    </w:p>
    <w:bookmarkEnd w:id="123"/>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 случае инвестирования собственных активов, влиянием данных рисков на значения пруденциальных нормативов и иных норм и лимитов, установленных уполномоченным органом для Управляющего;</w:t>
      </w:r>
    </w:p>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w:t>
      </w:r>
    </w:p>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вкладчиков добровольных накопительных пенсионных взносов (получателей пенсионных выплат), пайщиков, акционеров инвестиционного фонда, включающего информацию о сумме денег и (или) активов, переданных в инвестиционное управление);</w:t>
      </w:r>
    </w:p>
    <w:p>
      <w:pPr>
        <w:spacing w:after="0"/>
        <w:ind w:left="0"/>
        <w:jc w:val="both"/>
      </w:pPr>
      <w:r>
        <w:rPr>
          <w:rFonts w:ascii="Times New Roman"/>
          <w:b w:val="false"/>
          <w:i w:val="false"/>
          <w:color w:val="000000"/>
          <w:sz w:val="28"/>
        </w:rPr>
        <w:t>
      анализ, содержащий прогноз размера пенсионных активов, предполагаемых к принятию в доверительное управление, а также структуры обязательств инвестиционного (инвестиционных) портфеля (портфелей), принятого (принятых) в доверительное управление, по срокам их исполнения;</w:t>
      </w:r>
    </w:p>
    <w:bookmarkStart w:name="z507" w:id="124"/>
    <w:p>
      <w:pPr>
        <w:spacing w:after="0"/>
        <w:ind w:left="0"/>
        <w:jc w:val="both"/>
      </w:pPr>
      <w:r>
        <w:rPr>
          <w:rFonts w:ascii="Times New Roman"/>
          <w:b w:val="false"/>
          <w:i w:val="false"/>
          <w:color w:val="000000"/>
          <w:sz w:val="28"/>
        </w:rPr>
        <w:t>
      3) на ежедневной основе:</w:t>
      </w:r>
    </w:p>
    <w:bookmarkEnd w:id="124"/>
    <w:p>
      <w:pPr>
        <w:spacing w:after="0"/>
        <w:ind w:left="0"/>
        <w:jc w:val="both"/>
      </w:pP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активам и активам клиентов,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25"/>
    <w:p>
      <w:pPr>
        <w:spacing w:after="0"/>
        <w:ind w:left="0"/>
        <w:jc w:val="both"/>
      </w:pPr>
      <w:r>
        <w:rPr>
          <w:rFonts w:ascii="Times New Roman"/>
          <w:b w:val="false"/>
          <w:i w:val="false"/>
          <w:color w:val="000000"/>
          <w:sz w:val="28"/>
        </w:rPr>
        <w:t>
      41. На основе аналитических исследований, указанных в пункте 40 Правил, ответственным подразделением Управляющего или брокера и (или) дилера, являющегося Управляющим, разрабатываются рекомендации, содержащие подробный перечень факторов, послуживших основанием для предоставления данных рекомендаций.</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6"/>
    <w:p>
      <w:pPr>
        <w:spacing w:after="0"/>
        <w:ind w:left="0"/>
        <w:jc w:val="both"/>
      </w:pPr>
      <w:r>
        <w:rPr>
          <w:rFonts w:ascii="Times New Roman"/>
          <w:b w:val="false"/>
          <w:i w:val="false"/>
          <w:color w:val="000000"/>
          <w:sz w:val="28"/>
        </w:rPr>
        <w:t>
      42. Рекомендации предоставляются при:</w:t>
      </w:r>
    </w:p>
    <w:bookmarkEnd w:id="126"/>
    <w:p>
      <w:pPr>
        <w:spacing w:after="0"/>
        <w:ind w:left="0"/>
        <w:jc w:val="both"/>
      </w:pPr>
      <w:r>
        <w:rPr>
          <w:rFonts w:ascii="Times New Roman"/>
          <w:b w:val="false"/>
          <w:i w:val="false"/>
          <w:color w:val="000000"/>
          <w:sz w:val="28"/>
        </w:rPr>
        <w:t>
      1) разработке корпоративной стратегии, инвестиционной декларации и политики инвестирования собственных активов Управляющего или брокера и (или) дилера, являющегося Управляющим, а также внесении изменений и дополнений в указанные документы;</w:t>
      </w:r>
    </w:p>
    <w:p>
      <w:pPr>
        <w:spacing w:after="0"/>
        <w:ind w:left="0"/>
        <w:jc w:val="both"/>
      </w:pPr>
      <w:r>
        <w:rPr>
          <w:rFonts w:ascii="Times New Roman"/>
          <w:b w:val="false"/>
          <w:i w:val="false"/>
          <w:color w:val="000000"/>
          <w:sz w:val="28"/>
        </w:rPr>
        <w:t>
      2) определении и пересмотре лимитов инвестирования;</w:t>
      </w:r>
    </w:p>
    <w:p>
      <w:pPr>
        <w:spacing w:after="0"/>
        <w:ind w:left="0"/>
        <w:jc w:val="both"/>
      </w:pPr>
      <w:r>
        <w:rPr>
          <w:rFonts w:ascii="Times New Roman"/>
          <w:b w:val="false"/>
          <w:i w:val="false"/>
          <w:color w:val="000000"/>
          <w:sz w:val="28"/>
        </w:rPr>
        <w:t>
      3) принятии решений о совершении сделок за счет активов клиентов, принятых в инвестиционное управление, и (или) собственных активов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4) принятии решений об инвестировании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автоматизированной системы размещения и управления заявками на заключение сделок по финансовым инструментам по заданному алгоритму (алгоритмический трейдинг).</w:t>
      </w:r>
    </w:p>
    <w:p>
      <w:pPr>
        <w:spacing w:after="0"/>
        <w:ind w:left="0"/>
        <w:jc w:val="both"/>
      </w:pPr>
      <w:r>
        <w:rPr>
          <w:rFonts w:ascii="Times New Roman"/>
          <w:b w:val="false"/>
          <w:i w:val="false"/>
          <w:color w:val="000000"/>
          <w:sz w:val="28"/>
        </w:rPr>
        <w:t>
      Рекомендация, предусмотренная подпунктом 3) настоящего пункта, разрабатывается для принятия инвестиционных решений в отношении совершения как одной, так и нескольких сделок с финансовыми инструментами и не требуется в отношении сделок по покупке иностранной валюты в случае, если иностранная валюта приобретается для совершения сделок по покупке ценных бумаг, расчеты по которым осуществляются в иностранной валюте и (или) для оплаты административных расходов и (или) погашения обязательств брокера и (или) дилера, Управляющего, выраженных в иностранной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27"/>
    <w:p>
      <w:pPr>
        <w:spacing w:after="0"/>
        <w:ind w:left="0"/>
        <w:jc w:val="both"/>
      </w:pPr>
      <w:r>
        <w:rPr>
          <w:rFonts w:ascii="Times New Roman"/>
          <w:b w:val="false"/>
          <w:i w:val="false"/>
          <w:color w:val="000000"/>
          <w:sz w:val="28"/>
        </w:rPr>
        <w:t>
      43. Рекомендация содержит следующие сведения:</w:t>
      </w:r>
    </w:p>
    <w:bookmarkEnd w:id="127"/>
    <w:p>
      <w:pPr>
        <w:spacing w:after="0"/>
        <w:ind w:left="0"/>
        <w:jc w:val="both"/>
      </w:pPr>
      <w:r>
        <w:rPr>
          <w:rFonts w:ascii="Times New Roman"/>
          <w:b w:val="false"/>
          <w:i w:val="false"/>
          <w:color w:val="000000"/>
          <w:sz w:val="28"/>
        </w:rPr>
        <w:t>
      1) дату выдачи и ее номер;</w:t>
      </w:r>
    </w:p>
    <w:p>
      <w:pPr>
        <w:spacing w:after="0"/>
        <w:ind w:left="0"/>
        <w:jc w:val="both"/>
      </w:pPr>
      <w:r>
        <w:rPr>
          <w:rFonts w:ascii="Times New Roman"/>
          <w:b w:val="false"/>
          <w:i w:val="false"/>
          <w:color w:val="000000"/>
          <w:sz w:val="28"/>
        </w:rPr>
        <w:t>
      2) анализ информации, использованной для выдачи рекомендации;</w:t>
      </w:r>
    </w:p>
    <w:p>
      <w:pPr>
        <w:spacing w:after="0"/>
        <w:ind w:left="0"/>
        <w:jc w:val="both"/>
      </w:pPr>
      <w:r>
        <w:rPr>
          <w:rFonts w:ascii="Times New Roman"/>
          <w:b w:val="false"/>
          <w:i w:val="false"/>
          <w:color w:val="000000"/>
          <w:sz w:val="28"/>
        </w:rPr>
        <w:t>
      3) подписи лиц, составивших рекомендацию, с указанием их занимаемых должностей;</w:t>
      </w:r>
    </w:p>
    <w:p>
      <w:pPr>
        <w:spacing w:after="0"/>
        <w:ind w:left="0"/>
        <w:jc w:val="both"/>
      </w:pPr>
      <w:r>
        <w:rPr>
          <w:rFonts w:ascii="Times New Roman"/>
          <w:b w:val="false"/>
          <w:i w:val="false"/>
          <w:color w:val="000000"/>
          <w:sz w:val="28"/>
        </w:rPr>
        <w:t>
      4) результаты анализа информации, использованной для выдачи рекомендации, включая, но не ограничиваясь информацией о:</w:t>
      </w:r>
    </w:p>
    <w:p>
      <w:pPr>
        <w:spacing w:after="0"/>
        <w:ind w:left="0"/>
        <w:jc w:val="both"/>
      </w:pPr>
      <w:r>
        <w:rPr>
          <w:rFonts w:ascii="Times New Roman"/>
          <w:b w:val="false"/>
          <w:i w:val="false"/>
          <w:color w:val="000000"/>
          <w:sz w:val="28"/>
        </w:rPr>
        <w:t>
      влиянии совершаемой сделки на предполагаемое изменение доходов по принятым в управление активам и (или) собственным активам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рисках, связанных с приобретением данного финансового инструмента (финансовых инструментов);</w:t>
      </w:r>
    </w:p>
    <w:p>
      <w:pPr>
        <w:spacing w:after="0"/>
        <w:ind w:left="0"/>
        <w:jc w:val="both"/>
      </w:pPr>
      <w:r>
        <w:rPr>
          <w:rFonts w:ascii="Times New Roman"/>
          <w:b w:val="false"/>
          <w:i w:val="false"/>
          <w:color w:val="000000"/>
          <w:sz w:val="28"/>
        </w:rPr>
        <w:t>
      влиянии совершаемой сделки на изменение значений пруденциальных нормативов, установленных уполномоченным органом;</w:t>
      </w:r>
    </w:p>
    <w:p>
      <w:pPr>
        <w:spacing w:after="0"/>
        <w:ind w:left="0"/>
        <w:jc w:val="both"/>
      </w:pPr>
      <w:r>
        <w:rPr>
          <w:rFonts w:ascii="Times New Roman"/>
          <w:b w:val="false"/>
          <w:i w:val="false"/>
          <w:color w:val="000000"/>
          <w:sz w:val="28"/>
        </w:rPr>
        <w:t>
      5) предлагаемые варианты решения о заключении сделок с финансовыми инструментами за счет собственных средств и активов клиентов, принятых в инвестиционное управление;</w:t>
      </w:r>
    </w:p>
    <w:p>
      <w:pPr>
        <w:spacing w:after="0"/>
        <w:ind w:left="0"/>
        <w:jc w:val="both"/>
      </w:pPr>
      <w:r>
        <w:rPr>
          <w:rFonts w:ascii="Times New Roman"/>
          <w:b w:val="false"/>
          <w:i w:val="false"/>
          <w:color w:val="000000"/>
          <w:sz w:val="28"/>
        </w:rPr>
        <w:t>
      6) описание финансового инструмента (финансовых инструментов) с указанием вида, объема, диапазона цен, уровня доходности и других характеристик (условий) данного финансового инструмента (финансовых инструментов);</w:t>
      </w:r>
    </w:p>
    <w:p>
      <w:pPr>
        <w:spacing w:after="0"/>
        <w:ind w:left="0"/>
        <w:jc w:val="both"/>
      </w:pPr>
      <w:r>
        <w:rPr>
          <w:rFonts w:ascii="Times New Roman"/>
          <w:b w:val="false"/>
          <w:i w:val="false"/>
          <w:color w:val="000000"/>
          <w:sz w:val="28"/>
        </w:rPr>
        <w:t>
      7) цель заключения предлагаемой к совершению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128"/>
    <w:p>
      <w:pPr>
        <w:spacing w:after="0"/>
        <w:ind w:left="0"/>
        <w:jc w:val="both"/>
      </w:pPr>
      <w:r>
        <w:rPr>
          <w:rFonts w:ascii="Times New Roman"/>
          <w:b w:val="false"/>
          <w:i w:val="false"/>
          <w:color w:val="000000"/>
          <w:sz w:val="28"/>
        </w:rPr>
        <w:t>
      43-1. Рекомендация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содержит следующие сведения:</w:t>
      </w:r>
    </w:p>
    <w:bookmarkEnd w:id="128"/>
    <w:p>
      <w:pPr>
        <w:spacing w:after="0"/>
        <w:ind w:left="0"/>
        <w:jc w:val="both"/>
      </w:pPr>
      <w:r>
        <w:rPr>
          <w:rFonts w:ascii="Times New Roman"/>
          <w:b w:val="false"/>
          <w:i w:val="false"/>
          <w:color w:val="000000"/>
          <w:sz w:val="28"/>
        </w:rPr>
        <w:t>
      1) дату выдачи и ее номер;</w:t>
      </w:r>
    </w:p>
    <w:p>
      <w:pPr>
        <w:spacing w:after="0"/>
        <w:ind w:left="0"/>
        <w:jc w:val="both"/>
      </w:pPr>
      <w:r>
        <w:rPr>
          <w:rFonts w:ascii="Times New Roman"/>
          <w:b w:val="false"/>
          <w:i w:val="false"/>
          <w:color w:val="000000"/>
          <w:sz w:val="28"/>
        </w:rPr>
        <w:t>
      2) сведения о клиенте, в отношении активов которого предполагается применение алгоритмического трейдинга, либо указание на то, что рекомендация составлена в отношении собственных активов;</w:t>
      </w:r>
    </w:p>
    <w:p>
      <w:pPr>
        <w:spacing w:after="0"/>
        <w:ind w:left="0"/>
        <w:jc w:val="both"/>
      </w:pPr>
      <w:r>
        <w:rPr>
          <w:rFonts w:ascii="Times New Roman"/>
          <w:b w:val="false"/>
          <w:i w:val="false"/>
          <w:color w:val="000000"/>
          <w:sz w:val="28"/>
        </w:rPr>
        <w:t>
      3) наименование рекомендуемой к применению алгоритмической стратегии;</w:t>
      </w:r>
    </w:p>
    <w:p>
      <w:pPr>
        <w:spacing w:after="0"/>
        <w:ind w:left="0"/>
        <w:jc w:val="both"/>
      </w:pPr>
      <w:r>
        <w:rPr>
          <w:rFonts w:ascii="Times New Roman"/>
          <w:b w:val="false"/>
          <w:i w:val="false"/>
          <w:color w:val="000000"/>
          <w:sz w:val="28"/>
        </w:rPr>
        <w:t>
      4) рекомендуемую сумму для инвестирования;</w:t>
      </w:r>
    </w:p>
    <w:p>
      <w:pPr>
        <w:spacing w:after="0"/>
        <w:ind w:left="0"/>
        <w:jc w:val="both"/>
      </w:pPr>
      <w:r>
        <w:rPr>
          <w:rFonts w:ascii="Times New Roman"/>
          <w:b w:val="false"/>
          <w:i w:val="false"/>
          <w:color w:val="000000"/>
          <w:sz w:val="28"/>
        </w:rPr>
        <w:t>
      5) перечень финансовых инструментов (при необходимости);</w:t>
      </w:r>
    </w:p>
    <w:p>
      <w:pPr>
        <w:spacing w:after="0"/>
        <w:ind w:left="0"/>
        <w:jc w:val="both"/>
      </w:pPr>
      <w:r>
        <w:rPr>
          <w:rFonts w:ascii="Times New Roman"/>
          <w:b w:val="false"/>
          <w:i w:val="false"/>
          <w:color w:val="000000"/>
          <w:sz w:val="28"/>
        </w:rPr>
        <w:t>
      6) рекомендуемый срок действия алгоритмической стратегии;</w:t>
      </w:r>
    </w:p>
    <w:p>
      <w:pPr>
        <w:spacing w:after="0"/>
        <w:ind w:left="0"/>
        <w:jc w:val="both"/>
      </w:pPr>
      <w:r>
        <w:rPr>
          <w:rFonts w:ascii="Times New Roman"/>
          <w:b w:val="false"/>
          <w:i w:val="false"/>
          <w:color w:val="000000"/>
          <w:sz w:val="28"/>
        </w:rPr>
        <w:t>
      7) ожидаемый размер доходности от применения данной алгоритмической стратегии;</w:t>
      </w:r>
    </w:p>
    <w:p>
      <w:pPr>
        <w:spacing w:after="0"/>
        <w:ind w:left="0"/>
        <w:jc w:val="both"/>
      </w:pPr>
      <w:r>
        <w:rPr>
          <w:rFonts w:ascii="Times New Roman"/>
          <w:b w:val="false"/>
          <w:i w:val="false"/>
          <w:color w:val="000000"/>
          <w:sz w:val="28"/>
        </w:rPr>
        <w:t>
      8) максимально допустимый размер убытка от суммы, рекомендуемой для инвестирования;</w:t>
      </w:r>
    </w:p>
    <w:p>
      <w:pPr>
        <w:spacing w:after="0"/>
        <w:ind w:left="0"/>
        <w:jc w:val="both"/>
      </w:pPr>
      <w:r>
        <w:rPr>
          <w:rFonts w:ascii="Times New Roman"/>
          <w:b w:val="false"/>
          <w:i w:val="false"/>
          <w:color w:val="000000"/>
          <w:sz w:val="28"/>
        </w:rPr>
        <w:t>
      9) подписи лиц, составивших рекомендацию, с указанием их занимаемых должностей.</w:t>
      </w:r>
    </w:p>
    <w:p>
      <w:pPr>
        <w:spacing w:after="0"/>
        <w:ind w:left="0"/>
        <w:jc w:val="both"/>
      </w:pPr>
      <w:r>
        <w:rPr>
          <w:rFonts w:ascii="Times New Roman"/>
          <w:b w:val="false"/>
          <w:i w:val="false"/>
          <w:color w:val="000000"/>
          <w:sz w:val="28"/>
        </w:rPr>
        <w:t>
      Алгоритмическая стратегия (алгоритмические стратегии) утверждается (утверждаются) инвестиционным комитетом брокера и (или) дилера, Управляющего, брокера и (или) дилера, являющегося Управляющим.</w:t>
      </w:r>
    </w:p>
    <w:p>
      <w:pPr>
        <w:spacing w:after="0"/>
        <w:ind w:left="0"/>
        <w:jc w:val="both"/>
      </w:pPr>
      <w:r>
        <w:rPr>
          <w:rFonts w:ascii="Times New Roman"/>
          <w:b w:val="false"/>
          <w:i w:val="false"/>
          <w:color w:val="000000"/>
          <w:sz w:val="28"/>
        </w:rPr>
        <w:t>
      Документ, содержащий условия алгоритмической стратегии, включает, но не ограничивается следующим:</w:t>
      </w:r>
    </w:p>
    <w:p>
      <w:pPr>
        <w:spacing w:after="0"/>
        <w:ind w:left="0"/>
        <w:jc w:val="both"/>
      </w:pPr>
      <w:r>
        <w:rPr>
          <w:rFonts w:ascii="Times New Roman"/>
          <w:b w:val="false"/>
          <w:i w:val="false"/>
          <w:color w:val="000000"/>
          <w:sz w:val="28"/>
        </w:rPr>
        <w:t>
      1) подробное описание алгоритмической стратегии;</w:t>
      </w:r>
    </w:p>
    <w:p>
      <w:pPr>
        <w:spacing w:after="0"/>
        <w:ind w:left="0"/>
        <w:jc w:val="both"/>
      </w:pPr>
      <w:r>
        <w:rPr>
          <w:rFonts w:ascii="Times New Roman"/>
          <w:b w:val="false"/>
          <w:i w:val="false"/>
          <w:color w:val="000000"/>
          <w:sz w:val="28"/>
        </w:rPr>
        <w:t>
      2) перечень финансовых инструментов, используемых в рамках данной алгоритмической стратегии;</w:t>
      </w:r>
    </w:p>
    <w:p>
      <w:pPr>
        <w:spacing w:after="0"/>
        <w:ind w:left="0"/>
        <w:jc w:val="both"/>
      </w:pPr>
      <w:r>
        <w:rPr>
          <w:rFonts w:ascii="Times New Roman"/>
          <w:b w:val="false"/>
          <w:i w:val="false"/>
          <w:color w:val="000000"/>
          <w:sz w:val="28"/>
        </w:rPr>
        <w:t>
      3) результаты проверки (тестирования) эффективности данной алгоритмической стратегии с использованием исторических финансовых данных;</w:t>
      </w:r>
    </w:p>
    <w:p>
      <w:pPr>
        <w:spacing w:after="0"/>
        <w:ind w:left="0"/>
        <w:jc w:val="both"/>
      </w:pPr>
      <w:r>
        <w:rPr>
          <w:rFonts w:ascii="Times New Roman"/>
          <w:b w:val="false"/>
          <w:i w:val="false"/>
          <w:color w:val="000000"/>
          <w:sz w:val="28"/>
        </w:rPr>
        <w:t>
      4) информацию об основных рисках, связанных с инвестированием с применением алгоритмического трейдинга;</w:t>
      </w:r>
    </w:p>
    <w:p>
      <w:pPr>
        <w:spacing w:after="0"/>
        <w:ind w:left="0"/>
        <w:jc w:val="both"/>
      </w:pPr>
      <w:r>
        <w:rPr>
          <w:rFonts w:ascii="Times New Roman"/>
          <w:b w:val="false"/>
          <w:i w:val="false"/>
          <w:color w:val="000000"/>
          <w:sz w:val="28"/>
        </w:rPr>
        <w:t>
      5) сведения о дополнительных расходах и комиссиях, возникающих при применении данной алгоритмической стратегии.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29"/>
    <w:p>
      <w:pPr>
        <w:spacing w:after="0"/>
        <w:ind w:left="0"/>
        <w:jc w:val="both"/>
      </w:pPr>
      <w:r>
        <w:rPr>
          <w:rFonts w:ascii="Times New Roman"/>
          <w:b w:val="false"/>
          <w:i w:val="false"/>
          <w:color w:val="000000"/>
          <w:sz w:val="28"/>
        </w:rPr>
        <w:t>
      44. Рекомендации хранятся вместе со всеми документами, на основании которых они были подготовлены.</w:t>
      </w:r>
    </w:p>
    <w:bookmarkEnd w:id="129"/>
    <w:bookmarkStart w:name="z89" w:id="130"/>
    <w:p>
      <w:pPr>
        <w:spacing w:after="0"/>
        <w:ind w:left="0"/>
        <w:jc w:val="both"/>
      </w:pPr>
      <w:r>
        <w:rPr>
          <w:rFonts w:ascii="Times New Roman"/>
          <w:b w:val="false"/>
          <w:i w:val="false"/>
          <w:color w:val="000000"/>
          <w:sz w:val="28"/>
        </w:rPr>
        <w:t>
      45. Подразделение Управляющего или брокера и (или) дилера, являющегося Управляющим, осуществляющее управление рисками:</w:t>
      </w:r>
    </w:p>
    <w:bookmarkEnd w:id="130"/>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по финансовым инструментам, соответствующих доходностей,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инвестиционным комитетом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2) совместно с подразделением, осуществляющим управление активами клиентов и (или) собственными активами, инициирует пересмотр лимитов в соответствии с масштабом и динамикой рынка финансовых инструментов и ликвидностью финансового инструмента;</w:t>
      </w:r>
    </w:p>
    <w:p>
      <w:pPr>
        <w:spacing w:after="0"/>
        <w:ind w:left="0"/>
        <w:jc w:val="both"/>
      </w:pPr>
      <w:r>
        <w:rPr>
          <w:rFonts w:ascii="Times New Roman"/>
          <w:b w:val="false"/>
          <w:i w:val="false"/>
          <w:color w:val="000000"/>
          <w:sz w:val="28"/>
        </w:rPr>
        <w:t>
      3) готовит заключение о подверженности кредитному, процентному, валютному и фондовому рискам инвестиционного портфеля каждого клиента, активы которого приняты в управление и (или) собственным активам и представляет данное заключение в инвестиционный комитет.</w:t>
      </w:r>
    </w:p>
    <w:bookmarkStart w:name="z90" w:id="131"/>
    <w:p>
      <w:pPr>
        <w:spacing w:after="0"/>
        <w:ind w:left="0"/>
        <w:jc w:val="both"/>
      </w:pPr>
      <w:r>
        <w:rPr>
          <w:rFonts w:ascii="Times New Roman"/>
          <w:b w:val="false"/>
          <w:i w:val="false"/>
          <w:color w:val="000000"/>
          <w:sz w:val="28"/>
        </w:rPr>
        <w:t xml:space="preserve">
      46. Заключение подразделения Управляющего или брокера и (или) дилера, являющегося Управляющим, осуществляющего управление рисками, подготовленное в соответствии с подпунктом 3) </w:t>
      </w:r>
      <w:r>
        <w:rPr>
          <w:rFonts w:ascii="Times New Roman"/>
          <w:b w:val="false"/>
          <w:i w:val="false"/>
          <w:color w:val="000000"/>
          <w:sz w:val="28"/>
        </w:rPr>
        <w:t>пункта 45</w:t>
      </w:r>
      <w:r>
        <w:rPr>
          <w:rFonts w:ascii="Times New Roman"/>
          <w:b w:val="false"/>
          <w:i w:val="false"/>
          <w:color w:val="000000"/>
          <w:sz w:val="28"/>
        </w:rPr>
        <w:t xml:space="preserve"> Правил, содержит следующие сведения, включая, но не ограничиваясь сведениями о:</w:t>
      </w:r>
    </w:p>
    <w:bookmarkEnd w:id="131"/>
    <w:p>
      <w:pPr>
        <w:spacing w:after="0"/>
        <w:ind w:left="0"/>
        <w:jc w:val="both"/>
      </w:pPr>
      <w:r>
        <w:rPr>
          <w:rFonts w:ascii="Times New Roman"/>
          <w:b w:val="false"/>
          <w:i w:val="false"/>
          <w:color w:val="000000"/>
          <w:sz w:val="28"/>
        </w:rPr>
        <w:t>
      влиянии совершаемой сделки на соблюдение лимитов, установленных органом управления и инвестиционным комитетом;</w:t>
      </w:r>
    </w:p>
    <w:p>
      <w:pPr>
        <w:spacing w:after="0"/>
        <w:ind w:left="0"/>
        <w:jc w:val="both"/>
      </w:pPr>
      <w:r>
        <w:rPr>
          <w:rFonts w:ascii="Times New Roman"/>
          <w:b w:val="false"/>
          <w:i w:val="false"/>
          <w:color w:val="000000"/>
          <w:sz w:val="28"/>
        </w:rPr>
        <w:t>
      возможном изменении значений пруденциальных нормативов, установленных уполномоченным органом;</w:t>
      </w:r>
    </w:p>
    <w:p>
      <w:pPr>
        <w:spacing w:after="0"/>
        <w:ind w:left="0"/>
        <w:jc w:val="both"/>
      </w:pPr>
      <w:r>
        <w:rPr>
          <w:rFonts w:ascii="Times New Roman"/>
          <w:b w:val="false"/>
          <w:i w:val="false"/>
          <w:color w:val="000000"/>
          <w:sz w:val="28"/>
        </w:rPr>
        <w:t>
      рисках, связанных с приобретением данного финансового инструмента.</w:t>
      </w:r>
    </w:p>
    <w:bookmarkStart w:name="z91" w:id="132"/>
    <w:p>
      <w:pPr>
        <w:spacing w:after="0"/>
        <w:ind w:left="0"/>
        <w:jc w:val="both"/>
      </w:pPr>
      <w:r>
        <w:rPr>
          <w:rFonts w:ascii="Times New Roman"/>
          <w:b w:val="false"/>
          <w:i w:val="false"/>
          <w:color w:val="000000"/>
          <w:sz w:val="28"/>
        </w:rPr>
        <w:t>
      47. На основании рекомендаций подразделения, в функции которого включаются сбор, обработка и анализ информации, необходимой для принятия инвестиционного решения, и заключения подразделения, осуществляющего управление рисками, инвестиционный комитет Управляющего или брокера и (или) дилера, являющегося Управляющим:</w:t>
      </w:r>
    </w:p>
    <w:bookmarkEnd w:id="132"/>
    <w:p>
      <w:pPr>
        <w:spacing w:after="0"/>
        <w:ind w:left="0"/>
        <w:jc w:val="both"/>
      </w:pPr>
      <w:r>
        <w:rPr>
          <w:rFonts w:ascii="Times New Roman"/>
          <w:b w:val="false"/>
          <w:i w:val="false"/>
          <w:color w:val="000000"/>
          <w:sz w:val="28"/>
        </w:rPr>
        <w:t>
      1) определяет приоритетные направления инвестирования активов клиентов, принятых в управление, и (или) собственных активов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2) устанавливает и пересматривает не реже одного раза в год следующие лимиты инвестирования за счет активов клиентов, принятых в управление, и (или) собственных активов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лимиты инвестирования по видам финансовых инструментов и (или) иным активам;</w:t>
      </w:r>
    </w:p>
    <w:p>
      <w:pPr>
        <w:spacing w:after="0"/>
        <w:ind w:left="0"/>
        <w:jc w:val="both"/>
      </w:pPr>
      <w:r>
        <w:rPr>
          <w:rFonts w:ascii="Times New Roman"/>
          <w:b w:val="false"/>
          <w:i w:val="false"/>
          <w:color w:val="000000"/>
          <w:sz w:val="28"/>
        </w:rPr>
        <w:t>
      лимиты инвестирования в финансовые инструменты эмитентов, являющихся резидентами определенного государства ("лимит на страну");</w:t>
      </w:r>
    </w:p>
    <w:p>
      <w:pPr>
        <w:spacing w:after="0"/>
        <w:ind w:left="0"/>
        <w:jc w:val="both"/>
      </w:pPr>
      <w:r>
        <w:rPr>
          <w:rFonts w:ascii="Times New Roman"/>
          <w:b w:val="false"/>
          <w:i w:val="false"/>
          <w:color w:val="000000"/>
          <w:sz w:val="28"/>
        </w:rPr>
        <w:t>
      лимиты инвестирования по валютам, в которых номинированы финансовые инструменты;</w:t>
      </w:r>
    </w:p>
    <w:p>
      <w:pPr>
        <w:spacing w:after="0"/>
        <w:ind w:left="0"/>
        <w:jc w:val="both"/>
      </w:pPr>
      <w:r>
        <w:rPr>
          <w:rFonts w:ascii="Times New Roman"/>
          <w:b w:val="false"/>
          <w:i w:val="false"/>
          <w:color w:val="000000"/>
          <w:sz w:val="28"/>
        </w:rPr>
        <w:t>
      лимиты по открытым валютным позициям;</w:t>
      </w:r>
    </w:p>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w:t>
      </w:r>
    </w:p>
    <w:p>
      <w:pPr>
        <w:spacing w:after="0"/>
        <w:ind w:left="0"/>
        <w:jc w:val="both"/>
      </w:pPr>
      <w:r>
        <w:rPr>
          <w:rFonts w:ascii="Times New Roman"/>
          <w:b w:val="false"/>
          <w:i w:val="false"/>
          <w:color w:val="000000"/>
          <w:sz w:val="28"/>
        </w:rPr>
        <w:t>
      перечень финансовых инструментов, по которым устанавливаются лимиты "stop-loss" и "take-profit";</w:t>
      </w:r>
    </w:p>
    <w:p>
      <w:pPr>
        <w:spacing w:after="0"/>
        <w:ind w:left="0"/>
        <w:jc w:val="both"/>
      </w:pPr>
      <w:r>
        <w:rPr>
          <w:rFonts w:ascii="Times New Roman"/>
          <w:b w:val="false"/>
          <w:i w:val="false"/>
          <w:color w:val="000000"/>
          <w:sz w:val="28"/>
        </w:rPr>
        <w:t>
      лимиты "stop-loss" для финансовых инструментов;</w:t>
      </w:r>
    </w:p>
    <w:p>
      <w:pPr>
        <w:spacing w:after="0"/>
        <w:ind w:left="0"/>
        <w:jc w:val="both"/>
      </w:pPr>
      <w:r>
        <w:rPr>
          <w:rFonts w:ascii="Times New Roman"/>
          <w:b w:val="false"/>
          <w:i w:val="false"/>
          <w:color w:val="000000"/>
          <w:sz w:val="28"/>
        </w:rPr>
        <w:t>
      лимиты "take-profit" для финансовых инструментов;</w:t>
      </w:r>
    </w:p>
    <w:p>
      <w:pPr>
        <w:spacing w:after="0"/>
        <w:ind w:left="0"/>
        <w:jc w:val="both"/>
      </w:pPr>
      <w:r>
        <w:rPr>
          <w:rFonts w:ascii="Times New Roman"/>
          <w:b w:val="false"/>
          <w:i w:val="false"/>
          <w:color w:val="000000"/>
          <w:sz w:val="28"/>
        </w:rPr>
        <w:t>
      лимиты гэп-позиций на основании ежеквартально проводимого подразделением, осуществляющим управление рисками, анализа гэп - позиций;</w:t>
      </w:r>
    </w:p>
    <w:p>
      <w:pPr>
        <w:spacing w:after="0"/>
        <w:ind w:left="0"/>
        <w:jc w:val="both"/>
      </w:pPr>
      <w:r>
        <w:rPr>
          <w:rFonts w:ascii="Times New Roman"/>
          <w:b w:val="false"/>
          <w:i w:val="false"/>
          <w:color w:val="000000"/>
          <w:sz w:val="28"/>
        </w:rPr>
        <w:t>
      лимит открытой позиции на трейдера в случае предоставления трейдеру возможности осуществлять торговые операции в пределах установленной суммы;</w:t>
      </w:r>
    </w:p>
    <w:p>
      <w:pPr>
        <w:spacing w:after="0"/>
        <w:ind w:left="0"/>
        <w:jc w:val="both"/>
      </w:pPr>
      <w:r>
        <w:rPr>
          <w:rFonts w:ascii="Times New Roman"/>
          <w:b w:val="false"/>
          <w:i w:val="false"/>
          <w:color w:val="000000"/>
          <w:sz w:val="28"/>
        </w:rPr>
        <w:t xml:space="preserve">
      3) определяет максимальные допустимые размеры убытков по активам клиентов, принятых в инвестиционное управление. </w:t>
      </w:r>
    </w:p>
    <w:bookmarkStart w:name="z92" w:id="133"/>
    <w:p>
      <w:pPr>
        <w:spacing w:after="0"/>
        <w:ind w:left="0"/>
        <w:jc w:val="left"/>
      </w:pPr>
      <w:r>
        <w:rPr>
          <w:rFonts w:ascii="Times New Roman"/>
          <w:b/>
          <w:i w:val="false"/>
          <w:color w:val="000000"/>
        </w:rPr>
        <w:t xml:space="preserve"> Глава 5. Требования к организации деятельности инвестиционного комитета Управляющего и брокера и (или) дилера, являющегося Управляющим</w:t>
      </w:r>
    </w:p>
    <w:bookmarkEnd w:id="133"/>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134"/>
    <w:p>
      <w:pPr>
        <w:spacing w:after="0"/>
        <w:ind w:left="0"/>
        <w:jc w:val="both"/>
      </w:pPr>
      <w:r>
        <w:rPr>
          <w:rFonts w:ascii="Times New Roman"/>
          <w:b w:val="false"/>
          <w:i w:val="false"/>
          <w:color w:val="000000"/>
          <w:sz w:val="28"/>
        </w:rPr>
        <w:t>
      48. Принятие решений о заключении сделок с финансовыми инструментами за счет активов клиентов, принятых в инвестиционное управление, и собственных средств Управляющего или брокера и (или) дилера, являющегося Управляющим, осуществляется инвестиционным комитетом Управляющего или брокера и (или) дилера, являющегося Управляющим, в состав которого входят:</w:t>
      </w:r>
    </w:p>
    <w:bookmarkEnd w:id="134"/>
    <w:p>
      <w:pPr>
        <w:spacing w:after="0"/>
        <w:ind w:left="0"/>
        <w:jc w:val="both"/>
      </w:pPr>
      <w:r>
        <w:rPr>
          <w:rFonts w:ascii="Times New Roman"/>
          <w:b w:val="false"/>
          <w:i w:val="false"/>
          <w:color w:val="000000"/>
          <w:sz w:val="28"/>
        </w:rPr>
        <w:t>
      1) руководящие работники;</w:t>
      </w:r>
    </w:p>
    <w:p>
      <w:pPr>
        <w:spacing w:after="0"/>
        <w:ind w:left="0"/>
        <w:jc w:val="both"/>
      </w:pPr>
      <w:r>
        <w:rPr>
          <w:rFonts w:ascii="Times New Roman"/>
          <w:b w:val="false"/>
          <w:i w:val="false"/>
          <w:color w:val="000000"/>
          <w:sz w:val="28"/>
        </w:rPr>
        <w:t>
      2) руководитель подразделения, осуществляющего управление рисками;</w:t>
      </w:r>
    </w:p>
    <w:p>
      <w:pPr>
        <w:spacing w:after="0"/>
        <w:ind w:left="0"/>
        <w:jc w:val="both"/>
      </w:pPr>
      <w:r>
        <w:rPr>
          <w:rFonts w:ascii="Times New Roman"/>
          <w:b w:val="false"/>
          <w:i w:val="false"/>
          <w:color w:val="000000"/>
          <w:sz w:val="28"/>
        </w:rPr>
        <w:t>
      3) иные работники Управляющего или брокера и (или) дилера, являющегося Управляющим.</w:t>
      </w:r>
    </w:p>
    <w:bookmarkStart w:name="z94" w:id="135"/>
    <w:p>
      <w:pPr>
        <w:spacing w:after="0"/>
        <w:ind w:left="0"/>
        <w:jc w:val="both"/>
      </w:pPr>
      <w:r>
        <w:rPr>
          <w:rFonts w:ascii="Times New Roman"/>
          <w:b w:val="false"/>
          <w:i w:val="false"/>
          <w:color w:val="000000"/>
          <w:sz w:val="28"/>
        </w:rPr>
        <w:t>
      49. В состав инвестиционного комитета Управляющего с правом привлечения добровольных пенсионных взносов, входят:</w:t>
      </w:r>
    </w:p>
    <w:bookmarkEnd w:id="135"/>
    <w:bookmarkStart w:name="z508" w:id="136"/>
    <w:p>
      <w:pPr>
        <w:spacing w:after="0"/>
        <w:ind w:left="0"/>
        <w:jc w:val="both"/>
      </w:pPr>
      <w:r>
        <w:rPr>
          <w:rFonts w:ascii="Times New Roman"/>
          <w:b w:val="false"/>
          <w:i w:val="false"/>
          <w:color w:val="000000"/>
          <w:sz w:val="28"/>
        </w:rPr>
        <w:t>
      1) руководящие работники;</w:t>
      </w:r>
    </w:p>
    <w:bookmarkEnd w:id="136"/>
    <w:bookmarkStart w:name="z509" w:id="137"/>
    <w:p>
      <w:pPr>
        <w:spacing w:after="0"/>
        <w:ind w:left="0"/>
        <w:jc w:val="both"/>
      </w:pPr>
      <w:r>
        <w:rPr>
          <w:rFonts w:ascii="Times New Roman"/>
          <w:b w:val="false"/>
          <w:i w:val="false"/>
          <w:color w:val="000000"/>
          <w:sz w:val="28"/>
        </w:rPr>
        <w:t>
      2) руководитель подразделения, осуществляющего управление рисками;</w:t>
      </w:r>
    </w:p>
    <w:bookmarkEnd w:id="137"/>
    <w:bookmarkStart w:name="z510" w:id="138"/>
    <w:p>
      <w:pPr>
        <w:spacing w:after="0"/>
        <w:ind w:left="0"/>
        <w:jc w:val="both"/>
      </w:pPr>
      <w:r>
        <w:rPr>
          <w:rFonts w:ascii="Times New Roman"/>
          <w:b w:val="false"/>
          <w:i w:val="false"/>
          <w:color w:val="000000"/>
          <w:sz w:val="28"/>
        </w:rPr>
        <w:t>
      3) работники Управляющего, которые одновременно не являются руководящими работниками либо крупными акционерами юридических лиц, аффилиированных по отношению к Управляющему.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39"/>
    <w:p>
      <w:pPr>
        <w:spacing w:after="0"/>
        <w:ind w:left="0"/>
        <w:jc w:val="both"/>
      </w:pPr>
      <w:r>
        <w:rPr>
          <w:rFonts w:ascii="Times New Roman"/>
          <w:b w:val="false"/>
          <w:i w:val="false"/>
          <w:color w:val="000000"/>
          <w:sz w:val="28"/>
        </w:rPr>
        <w:t>
      50. В состав инвестиционного комитета Управляющего осуществляющего в соответствии с договором, заключенным с Национальным Банком Республики Казахстан, управление пенсионными активами входят:</w:t>
      </w:r>
    </w:p>
    <w:bookmarkEnd w:id="139"/>
    <w:p>
      <w:pPr>
        <w:spacing w:after="0"/>
        <w:ind w:left="0"/>
        <w:jc w:val="both"/>
      </w:pPr>
      <w:r>
        <w:rPr>
          <w:rFonts w:ascii="Times New Roman"/>
          <w:b w:val="false"/>
          <w:i w:val="false"/>
          <w:color w:val="000000"/>
          <w:sz w:val="28"/>
        </w:rPr>
        <w:t>
      1) руководящие работники;</w:t>
      </w:r>
    </w:p>
    <w:p>
      <w:pPr>
        <w:spacing w:after="0"/>
        <w:ind w:left="0"/>
        <w:jc w:val="both"/>
      </w:pPr>
      <w:r>
        <w:rPr>
          <w:rFonts w:ascii="Times New Roman"/>
          <w:b w:val="false"/>
          <w:i w:val="false"/>
          <w:color w:val="000000"/>
          <w:sz w:val="28"/>
        </w:rPr>
        <w:t>
      2) руководитель подразделения, осуществляющего управление рисками;</w:t>
      </w:r>
    </w:p>
    <w:p>
      <w:pPr>
        <w:spacing w:after="0"/>
        <w:ind w:left="0"/>
        <w:jc w:val="both"/>
      </w:pPr>
      <w:r>
        <w:rPr>
          <w:rFonts w:ascii="Times New Roman"/>
          <w:b w:val="false"/>
          <w:i w:val="false"/>
          <w:color w:val="000000"/>
          <w:sz w:val="28"/>
        </w:rPr>
        <w:t>
      3) работники Управляющего, которые одновременно не являются руководящими работниками либо крупными акционерами юридических лиц, аффилиированных по отношению к Управляющему.</w:t>
      </w:r>
    </w:p>
    <w:bookmarkStart w:name="z96" w:id="140"/>
    <w:p>
      <w:pPr>
        <w:spacing w:after="0"/>
        <w:ind w:left="0"/>
        <w:jc w:val="both"/>
      </w:pPr>
      <w:r>
        <w:rPr>
          <w:rFonts w:ascii="Times New Roman"/>
          <w:b w:val="false"/>
          <w:i w:val="false"/>
          <w:color w:val="000000"/>
          <w:sz w:val="28"/>
        </w:rPr>
        <w:t>
      51. Допускается совмещение функций по принятию решений о заключении сделок с финансовыми инструментами за счет активов клиентов, принятых в инвестиционное управление (за исключением пенсионных активов, принятых в управление в соответствии с договором, заключенным с Национальным Банком Республики Казахстан, и пенсионных активов, находящихся в доверительном управлении) и (или) собственных средств Управляющего или брокера и (или) дилера, являющегося Управляющим, инвестиционным комитетом, соответствующим требованиям, установленным пунктом 48 и 49 Правил.</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41"/>
    <w:p>
      <w:pPr>
        <w:spacing w:after="0"/>
        <w:ind w:left="0"/>
        <w:jc w:val="both"/>
      </w:pPr>
      <w:r>
        <w:rPr>
          <w:rFonts w:ascii="Times New Roman"/>
          <w:b w:val="false"/>
          <w:i w:val="false"/>
          <w:color w:val="000000"/>
          <w:sz w:val="28"/>
        </w:rPr>
        <w:t>
      52. По итогам проведения заседания инвестиционного комитета составляется протокол с указанием:</w:t>
      </w:r>
    </w:p>
    <w:bookmarkEnd w:id="141"/>
    <w:p>
      <w:pPr>
        <w:spacing w:after="0"/>
        <w:ind w:left="0"/>
        <w:jc w:val="both"/>
      </w:pPr>
      <w:r>
        <w:rPr>
          <w:rFonts w:ascii="Times New Roman"/>
          <w:b w:val="false"/>
          <w:i w:val="false"/>
          <w:color w:val="000000"/>
          <w:sz w:val="28"/>
        </w:rPr>
        <w:t>
      перечня рассматриваемых на заседании вопросов;</w:t>
      </w:r>
    </w:p>
    <w:p>
      <w:pPr>
        <w:spacing w:after="0"/>
        <w:ind w:left="0"/>
        <w:jc w:val="both"/>
      </w:pPr>
      <w:r>
        <w:rPr>
          <w:rFonts w:ascii="Times New Roman"/>
          <w:b w:val="false"/>
          <w:i w:val="false"/>
          <w:color w:val="000000"/>
          <w:sz w:val="28"/>
        </w:rPr>
        <w:t>
      перечня документов, представленных инвестиционному комитету для принятия инвестиционного решения;</w:t>
      </w:r>
    </w:p>
    <w:p>
      <w:pPr>
        <w:spacing w:after="0"/>
        <w:ind w:left="0"/>
        <w:jc w:val="both"/>
      </w:pPr>
      <w:r>
        <w:rPr>
          <w:rFonts w:ascii="Times New Roman"/>
          <w:b w:val="false"/>
          <w:i w:val="false"/>
          <w:color w:val="000000"/>
          <w:sz w:val="28"/>
        </w:rPr>
        <w:t>
      параметров инвестиционных решений, принятых на данном заседании, с указанием наименования финансовых инструментов, а также условий совершения сделок с ними;</w:t>
      </w:r>
    </w:p>
    <w:p>
      <w:pPr>
        <w:spacing w:after="0"/>
        <w:ind w:left="0"/>
        <w:jc w:val="both"/>
      </w:pPr>
      <w:r>
        <w:rPr>
          <w:rFonts w:ascii="Times New Roman"/>
          <w:b w:val="false"/>
          <w:i w:val="false"/>
          <w:color w:val="000000"/>
          <w:sz w:val="28"/>
        </w:rPr>
        <w:t>
      итогов голосования по каждому вопросу, рассматриваемому на заседании;</w:t>
      </w:r>
    </w:p>
    <w:p>
      <w:pPr>
        <w:spacing w:after="0"/>
        <w:ind w:left="0"/>
        <w:jc w:val="both"/>
      </w:pPr>
      <w:r>
        <w:rPr>
          <w:rFonts w:ascii="Times New Roman"/>
          <w:b w:val="false"/>
          <w:i w:val="false"/>
          <w:color w:val="000000"/>
          <w:sz w:val="28"/>
        </w:rPr>
        <w:t>
      мнения членов инвестиционного комитета с обоснованием, в том числе в случае их несогласия с принятым решением, и наличия мнения (выраженного при принятии решения), отличного от принятого инвестиционного решения;</w:t>
      </w:r>
    </w:p>
    <w:p>
      <w:pPr>
        <w:spacing w:after="0"/>
        <w:ind w:left="0"/>
        <w:jc w:val="both"/>
      </w:pPr>
      <w:r>
        <w:rPr>
          <w:rFonts w:ascii="Times New Roman"/>
          <w:b w:val="false"/>
          <w:i w:val="false"/>
          <w:color w:val="000000"/>
          <w:sz w:val="28"/>
        </w:rPr>
        <w:t xml:space="preserve">
      сведения о возникновении ситуаций, указанных в подпункте 1) </w:t>
      </w:r>
      <w:r>
        <w:rPr>
          <w:rFonts w:ascii="Times New Roman"/>
          <w:b w:val="false"/>
          <w:i w:val="false"/>
          <w:color w:val="000000"/>
          <w:sz w:val="28"/>
        </w:rPr>
        <w:t>пункта 34</w:t>
      </w:r>
      <w:r>
        <w:rPr>
          <w:rFonts w:ascii="Times New Roman"/>
          <w:b w:val="false"/>
          <w:i w:val="false"/>
          <w:color w:val="000000"/>
          <w:sz w:val="28"/>
        </w:rPr>
        <w:t xml:space="preserve"> Правил.</w:t>
      </w:r>
    </w:p>
    <w:bookmarkStart w:name="z98" w:id="142"/>
    <w:p>
      <w:pPr>
        <w:spacing w:after="0"/>
        <w:ind w:left="0"/>
        <w:jc w:val="both"/>
      </w:pPr>
      <w:r>
        <w:rPr>
          <w:rFonts w:ascii="Times New Roman"/>
          <w:b w:val="false"/>
          <w:i w:val="false"/>
          <w:color w:val="000000"/>
          <w:sz w:val="28"/>
        </w:rPr>
        <w:t>
      53. Протокол подписывается всеми членами инвестиционного комитета, присутствующими на заседании, и хранится на бумажном носителе и (или) в форме электронного документа, заверенного электронными цифровыми подписями членов инвестиционного комитета, присутствующими на заседании, при обеспечении конфиденциальности и некорректируемости данных, вместе с инвестиционными решениями, принятыми инвестиционным комитетом, в течение пяти лет.</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43"/>
    <w:p>
      <w:pPr>
        <w:spacing w:after="0"/>
        <w:ind w:left="0"/>
        <w:jc w:val="both"/>
      </w:pPr>
      <w:r>
        <w:rPr>
          <w:rFonts w:ascii="Times New Roman"/>
          <w:b w:val="false"/>
          <w:i w:val="false"/>
          <w:color w:val="000000"/>
          <w:sz w:val="28"/>
        </w:rPr>
        <w:t>
      54. Инвестиционное решение принимается в отношении совершения как одной, так и нескольких сделок с финансовыми инструментами.</w:t>
      </w:r>
    </w:p>
    <w:bookmarkEnd w:id="143"/>
    <w:p>
      <w:pPr>
        <w:spacing w:after="0"/>
        <w:ind w:left="0"/>
        <w:jc w:val="both"/>
      </w:pPr>
      <w:r>
        <w:rPr>
          <w:rFonts w:ascii="Times New Roman"/>
          <w:b w:val="false"/>
          <w:i w:val="false"/>
          <w:color w:val="000000"/>
          <w:sz w:val="28"/>
        </w:rPr>
        <w:t>
      Принятие инвестиционного решения не требуется в отношении сделок по покупке иностранной валюты в случае, если иностранная валюта приобретается для совершения сделок по покупке ценных бумаг, расчеты по которым осуществляются в иностранной валюте и (или) для оплаты административных расходов и (или) погашения обязательств брокера и (или) дилера, Управляющего, выраженных в иностранной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44"/>
    <w:p>
      <w:pPr>
        <w:spacing w:after="0"/>
        <w:ind w:left="0"/>
        <w:jc w:val="both"/>
      </w:pPr>
      <w:r>
        <w:rPr>
          <w:rFonts w:ascii="Times New Roman"/>
          <w:b w:val="false"/>
          <w:i w:val="false"/>
          <w:color w:val="000000"/>
          <w:sz w:val="28"/>
        </w:rPr>
        <w:t>
      55. Инвестиционное решение для совершения сделки с финансовыми инструментами содержит:</w:t>
      </w:r>
    </w:p>
    <w:bookmarkEnd w:id="144"/>
    <w:p>
      <w:pPr>
        <w:spacing w:after="0"/>
        <w:ind w:left="0"/>
        <w:jc w:val="both"/>
      </w:pPr>
      <w:r>
        <w:rPr>
          <w:rFonts w:ascii="Times New Roman"/>
          <w:b w:val="false"/>
          <w:i w:val="false"/>
          <w:color w:val="000000"/>
          <w:sz w:val="28"/>
        </w:rPr>
        <w:t>
      1) дату принятия и номер инвестиционного решения;</w:t>
      </w:r>
    </w:p>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инвестиционное решение;</w:t>
      </w:r>
    </w:p>
    <w:p>
      <w:pPr>
        <w:spacing w:after="0"/>
        <w:ind w:left="0"/>
        <w:jc w:val="both"/>
      </w:pPr>
      <w:r>
        <w:rPr>
          <w:rFonts w:ascii="Times New Roman"/>
          <w:b w:val="false"/>
          <w:i w:val="false"/>
          <w:color w:val="000000"/>
          <w:sz w:val="28"/>
        </w:rPr>
        <w:t>
      3) вид сделки, подлежащей совершению;</w:t>
      </w:r>
    </w:p>
    <w:p>
      <w:pPr>
        <w:spacing w:after="0"/>
        <w:ind w:left="0"/>
        <w:jc w:val="both"/>
      </w:pPr>
      <w:r>
        <w:rPr>
          <w:rFonts w:ascii="Times New Roman"/>
          <w:b w:val="false"/>
          <w:i w:val="false"/>
          <w:color w:val="000000"/>
          <w:sz w:val="28"/>
        </w:rPr>
        <w:t>
      4) идентификатор финансового инструмента (финансовых инструментов), по которому (которым) должна быть совершена сделка;</w:t>
      </w:r>
    </w:p>
    <w:p>
      <w:pPr>
        <w:spacing w:after="0"/>
        <w:ind w:left="0"/>
        <w:jc w:val="both"/>
      </w:pPr>
      <w:r>
        <w:rPr>
          <w:rFonts w:ascii="Times New Roman"/>
          <w:b w:val="false"/>
          <w:i w:val="false"/>
          <w:color w:val="000000"/>
          <w:sz w:val="28"/>
        </w:rPr>
        <w:t>
      5) объем, цену и сумму (диапазон объема, цены и суммы) сделки, подлежащей совершению;</w:t>
      </w:r>
    </w:p>
    <w:p>
      <w:pPr>
        <w:spacing w:after="0"/>
        <w:ind w:left="0"/>
        <w:jc w:val="both"/>
      </w:pPr>
      <w:r>
        <w:rPr>
          <w:rFonts w:ascii="Times New Roman"/>
          <w:b w:val="false"/>
          <w:i w:val="false"/>
          <w:color w:val="000000"/>
          <w:sz w:val="28"/>
        </w:rPr>
        <w:t>
      6) сроки совершения сделки;</w:t>
      </w:r>
    </w:p>
    <w:p>
      <w:pPr>
        <w:spacing w:after="0"/>
        <w:ind w:left="0"/>
        <w:jc w:val="both"/>
      </w:pPr>
      <w:r>
        <w:rPr>
          <w:rFonts w:ascii="Times New Roman"/>
          <w:b w:val="false"/>
          <w:i w:val="false"/>
          <w:color w:val="000000"/>
          <w:sz w:val="28"/>
        </w:rPr>
        <w:t>
      7) указание на тип рынка (первичный или вторичный, организованный или неорганизованный, международный рынки), на котором предполагается совершение сделки;</w:t>
      </w:r>
    </w:p>
    <w:p>
      <w:pPr>
        <w:spacing w:after="0"/>
        <w:ind w:left="0"/>
        <w:jc w:val="both"/>
      </w:pPr>
      <w:r>
        <w:rPr>
          <w:rFonts w:ascii="Times New Roman"/>
          <w:b w:val="false"/>
          <w:i w:val="false"/>
          <w:color w:val="000000"/>
          <w:sz w:val="28"/>
        </w:rPr>
        <w:t>
      8) указание лимита открытой позиции на трейдера в случае предоставления трейдеру возможности осуществлять торговые операции в пределах установленной суммы;</w:t>
      </w:r>
    </w:p>
    <w:p>
      <w:pPr>
        <w:spacing w:after="0"/>
        <w:ind w:left="0"/>
        <w:jc w:val="both"/>
      </w:pPr>
      <w:r>
        <w:rPr>
          <w:rFonts w:ascii="Times New Roman"/>
          <w:b w:val="false"/>
          <w:i w:val="false"/>
          <w:color w:val="000000"/>
          <w:sz w:val="28"/>
        </w:rPr>
        <w:t>
      9) наименование посредника (организации, осуществляющей брокерскую деятельность на рынке ценных бумаг), с помощью которого предполагается совершение сделки (при наличии такового);</w:t>
      </w:r>
    </w:p>
    <w:p>
      <w:pPr>
        <w:spacing w:after="0"/>
        <w:ind w:left="0"/>
        <w:jc w:val="both"/>
      </w:pPr>
      <w:r>
        <w:rPr>
          <w:rFonts w:ascii="Times New Roman"/>
          <w:b w:val="false"/>
          <w:i w:val="false"/>
          <w:color w:val="000000"/>
          <w:sz w:val="28"/>
        </w:rPr>
        <w:t>
      10) сведения о клиенте, за счет активов которого предполагается совершение сделки, либо указание на то, что инвестиционное решение принимается в отношении собственных активов;</w:t>
      </w:r>
    </w:p>
    <w:p>
      <w:pPr>
        <w:spacing w:after="0"/>
        <w:ind w:left="0"/>
        <w:jc w:val="both"/>
      </w:pPr>
      <w:r>
        <w:rPr>
          <w:rFonts w:ascii="Times New Roman"/>
          <w:b w:val="false"/>
          <w:i w:val="false"/>
          <w:color w:val="000000"/>
          <w:sz w:val="28"/>
        </w:rPr>
        <w:t>
      11) указание на наличие у кого-либо из членов инвестиционного комитета особого мнения в отношении принятия (отклонения) инвестиционного решения;</w:t>
      </w:r>
    </w:p>
    <w:p>
      <w:pPr>
        <w:spacing w:after="0"/>
        <w:ind w:left="0"/>
        <w:jc w:val="both"/>
      </w:pPr>
      <w:r>
        <w:rPr>
          <w:rFonts w:ascii="Times New Roman"/>
          <w:b w:val="false"/>
          <w:i w:val="false"/>
          <w:color w:val="000000"/>
          <w:sz w:val="28"/>
        </w:rPr>
        <w:t>
      12) подписи лиц, принявших инвестиционное решение с указанием их занимаемых должностей.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45"/>
    <w:p>
      <w:pPr>
        <w:spacing w:after="0"/>
        <w:ind w:left="0"/>
        <w:jc w:val="both"/>
      </w:pPr>
      <w:r>
        <w:rPr>
          <w:rFonts w:ascii="Times New Roman"/>
          <w:b w:val="false"/>
          <w:i w:val="false"/>
          <w:color w:val="000000"/>
          <w:sz w:val="28"/>
        </w:rPr>
        <w:t xml:space="preserve">
      56. Инвестиционное решение для совершения сделки с инструментами хеджирования помимо сведений, указанных в подпунктах 1) - 3), 7) - 12) </w:t>
      </w:r>
      <w:r>
        <w:rPr>
          <w:rFonts w:ascii="Times New Roman"/>
          <w:b w:val="false"/>
          <w:i w:val="false"/>
          <w:color w:val="000000"/>
          <w:sz w:val="28"/>
        </w:rPr>
        <w:t>пункта 55</w:t>
      </w:r>
      <w:r>
        <w:rPr>
          <w:rFonts w:ascii="Times New Roman"/>
          <w:b w:val="false"/>
          <w:i w:val="false"/>
          <w:color w:val="000000"/>
          <w:sz w:val="28"/>
        </w:rPr>
        <w:t xml:space="preserve"> Правил, содержит:</w:t>
      </w:r>
    </w:p>
    <w:bookmarkEnd w:id="145"/>
    <w:p>
      <w:pPr>
        <w:spacing w:after="0"/>
        <w:ind w:left="0"/>
        <w:jc w:val="both"/>
      </w:pPr>
      <w:r>
        <w:rPr>
          <w:rFonts w:ascii="Times New Roman"/>
          <w:b w:val="false"/>
          <w:i w:val="false"/>
          <w:color w:val="000000"/>
          <w:sz w:val="28"/>
        </w:rPr>
        <w:t>
      1)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p>
      <w:pPr>
        <w:spacing w:after="0"/>
        <w:ind w:left="0"/>
        <w:jc w:val="both"/>
      </w:pPr>
      <w:r>
        <w:rPr>
          <w:rFonts w:ascii="Times New Roman"/>
          <w:b w:val="false"/>
          <w:i w:val="false"/>
          <w:color w:val="000000"/>
          <w:sz w:val="28"/>
        </w:rPr>
        <w:t>
      2) ожидаемые результаты от применения данного инструмента хеджирования;</w:t>
      </w:r>
    </w:p>
    <w:p>
      <w:pPr>
        <w:spacing w:after="0"/>
        <w:ind w:left="0"/>
        <w:jc w:val="both"/>
      </w:pPr>
      <w:r>
        <w:rPr>
          <w:rFonts w:ascii="Times New Roman"/>
          <w:b w:val="false"/>
          <w:i w:val="false"/>
          <w:color w:val="000000"/>
          <w:sz w:val="28"/>
        </w:rPr>
        <w:t>
      3) оценку риска объекта хеджирования (базового актива) с указанием его вида (процентный, ценовой, валютный и других видов), а также метода его оценки;</w:t>
      </w:r>
    </w:p>
    <w:p>
      <w:pPr>
        <w:spacing w:after="0"/>
        <w:ind w:left="0"/>
        <w:jc w:val="both"/>
      </w:pPr>
      <w:r>
        <w:rPr>
          <w:rFonts w:ascii="Times New Roman"/>
          <w:b w:val="false"/>
          <w:i w:val="false"/>
          <w:color w:val="000000"/>
          <w:sz w:val="28"/>
        </w:rPr>
        <w:t>
      4) объект хеджирования с указанием необходимых реквизитов (идентификационный номер, количество, стоимость, объем, валюта);</w:t>
      </w:r>
    </w:p>
    <w:p>
      <w:pPr>
        <w:spacing w:after="0"/>
        <w:ind w:left="0"/>
        <w:jc w:val="both"/>
      </w:pPr>
      <w:r>
        <w:rPr>
          <w:rFonts w:ascii="Times New Roman"/>
          <w:b w:val="false"/>
          <w:i w:val="false"/>
          <w:color w:val="000000"/>
          <w:sz w:val="28"/>
        </w:rPr>
        <w:t>
      5) расчет, подтверждающий, что совершение данной операции приведет к снижению размера возможных убытков (недополучения дохода) по объекту хеджирования.</w:t>
      </w:r>
    </w:p>
    <w:bookmarkStart w:name="z438" w:id="146"/>
    <w:p>
      <w:pPr>
        <w:spacing w:after="0"/>
        <w:ind w:left="0"/>
        <w:jc w:val="both"/>
      </w:pPr>
      <w:r>
        <w:rPr>
          <w:rFonts w:ascii="Times New Roman"/>
          <w:b w:val="false"/>
          <w:i w:val="false"/>
          <w:color w:val="000000"/>
          <w:sz w:val="28"/>
        </w:rPr>
        <w:t xml:space="preserve">
      56-1. Инвестиционное решение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помимо сведений, указанных в подпунктах 1), 2), 10), 11) 12) </w:t>
      </w:r>
      <w:r>
        <w:rPr>
          <w:rFonts w:ascii="Times New Roman"/>
          <w:b w:val="false"/>
          <w:i w:val="false"/>
          <w:color w:val="000000"/>
          <w:sz w:val="28"/>
        </w:rPr>
        <w:t>пункта 55</w:t>
      </w:r>
      <w:r>
        <w:rPr>
          <w:rFonts w:ascii="Times New Roman"/>
          <w:b w:val="false"/>
          <w:i w:val="false"/>
          <w:color w:val="000000"/>
          <w:sz w:val="28"/>
        </w:rPr>
        <w:t xml:space="preserve"> Правил, содержит:</w:t>
      </w:r>
    </w:p>
    <w:bookmarkEnd w:id="146"/>
    <w:p>
      <w:pPr>
        <w:spacing w:after="0"/>
        <w:ind w:left="0"/>
        <w:jc w:val="both"/>
      </w:pPr>
      <w:r>
        <w:rPr>
          <w:rFonts w:ascii="Times New Roman"/>
          <w:b w:val="false"/>
          <w:i w:val="false"/>
          <w:color w:val="000000"/>
          <w:sz w:val="28"/>
        </w:rPr>
        <w:t>
      1) наименование применяемой алгоритмической стратегии;</w:t>
      </w:r>
    </w:p>
    <w:p>
      <w:pPr>
        <w:spacing w:after="0"/>
        <w:ind w:left="0"/>
        <w:jc w:val="both"/>
      </w:pPr>
      <w:r>
        <w:rPr>
          <w:rFonts w:ascii="Times New Roman"/>
          <w:b w:val="false"/>
          <w:i w:val="false"/>
          <w:color w:val="000000"/>
          <w:sz w:val="28"/>
        </w:rPr>
        <w:t>
      2) сумму, подлежащей инвестированию с применением алгоритмической стратегии;</w:t>
      </w:r>
    </w:p>
    <w:p>
      <w:pPr>
        <w:spacing w:after="0"/>
        <w:ind w:left="0"/>
        <w:jc w:val="both"/>
      </w:pPr>
      <w:r>
        <w:rPr>
          <w:rFonts w:ascii="Times New Roman"/>
          <w:b w:val="false"/>
          <w:i w:val="false"/>
          <w:color w:val="000000"/>
          <w:sz w:val="28"/>
        </w:rPr>
        <w:t>
      3) виды финансовых инструментов (при необходимости);</w:t>
      </w:r>
    </w:p>
    <w:p>
      <w:pPr>
        <w:spacing w:after="0"/>
        <w:ind w:left="0"/>
        <w:jc w:val="both"/>
      </w:pPr>
      <w:r>
        <w:rPr>
          <w:rFonts w:ascii="Times New Roman"/>
          <w:b w:val="false"/>
          <w:i w:val="false"/>
          <w:color w:val="000000"/>
          <w:sz w:val="28"/>
        </w:rPr>
        <w:t>
      4) срок действия алгоритмической стратегии;</w:t>
      </w:r>
    </w:p>
    <w:p>
      <w:pPr>
        <w:spacing w:after="0"/>
        <w:ind w:left="0"/>
        <w:jc w:val="both"/>
      </w:pPr>
      <w:r>
        <w:rPr>
          <w:rFonts w:ascii="Times New Roman"/>
          <w:b w:val="false"/>
          <w:i w:val="false"/>
          <w:color w:val="000000"/>
          <w:sz w:val="28"/>
        </w:rPr>
        <w:t>
      5) ожидаемая доходность от применения данной алгоритмической стратегии;</w:t>
      </w:r>
    </w:p>
    <w:p>
      <w:pPr>
        <w:spacing w:after="0"/>
        <w:ind w:left="0"/>
        <w:jc w:val="both"/>
      </w:pPr>
      <w:r>
        <w:rPr>
          <w:rFonts w:ascii="Times New Roman"/>
          <w:b w:val="false"/>
          <w:i w:val="false"/>
          <w:color w:val="000000"/>
          <w:sz w:val="28"/>
        </w:rPr>
        <w:t>
      6) максимально допустимый размер убытка от суммы, определенной для инвестирования.</w:t>
      </w:r>
    </w:p>
    <w:p>
      <w:pPr>
        <w:spacing w:after="0"/>
        <w:ind w:left="0"/>
        <w:jc w:val="both"/>
      </w:pPr>
      <w:r>
        <w:rPr>
          <w:rFonts w:ascii="Times New Roman"/>
          <w:b w:val="false"/>
          <w:i w:val="false"/>
          <w:color w:val="000000"/>
          <w:sz w:val="28"/>
        </w:rPr>
        <w:t>
      Принятие отдельных инвестиционных решений для совершения сделок в рамках инвестиционного решения, указанного в части первой настоящего пункта,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47"/>
    <w:p>
      <w:pPr>
        <w:spacing w:after="0"/>
        <w:ind w:left="0"/>
        <w:jc w:val="both"/>
      </w:pPr>
      <w:r>
        <w:rPr>
          <w:rFonts w:ascii="Times New Roman"/>
          <w:b w:val="false"/>
          <w:i w:val="false"/>
          <w:color w:val="000000"/>
          <w:sz w:val="28"/>
        </w:rPr>
        <w:t>
      57. Принятое инвестиционное решение передается на исполнение подразделению Управляющего или брокера и (или) дилера, являющегося Управляющим, осуществляющему заключение сделок с финансовыми инструментами, либо организации, предоставляющей услуги по заключению сделок с финансовыми инструментами.</w:t>
      </w:r>
    </w:p>
    <w:bookmarkEnd w:id="147"/>
    <w:bookmarkStart w:name="z103" w:id="148"/>
    <w:p>
      <w:pPr>
        <w:spacing w:after="0"/>
        <w:ind w:left="0"/>
        <w:jc w:val="left"/>
      </w:pPr>
      <w:r>
        <w:rPr>
          <w:rFonts w:ascii="Times New Roman"/>
          <w:b/>
          <w:i w:val="false"/>
          <w:color w:val="000000"/>
        </w:rPr>
        <w:t xml:space="preserve"> Глава 6. Требования к организации мониторинга рисков, в процессе инвестиционной деятельности Управляющего или брокера и (или) дилера, являющегося Управляющим</w:t>
      </w:r>
    </w:p>
    <w:bookmarkEnd w:id="148"/>
    <w:p>
      <w:pPr>
        <w:spacing w:after="0"/>
        <w:ind w:left="0"/>
        <w:jc w:val="both"/>
      </w:pPr>
      <w:r>
        <w:rPr>
          <w:rFonts w:ascii="Times New Roman"/>
          <w:b w:val="false"/>
          <w:i w:val="false"/>
          <w:color w:val="ff0000"/>
          <w:sz w:val="28"/>
        </w:rPr>
        <w:t xml:space="preserve">
      Сноска. Заголовок главы 6 -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149"/>
    <w:p>
      <w:pPr>
        <w:spacing w:after="0"/>
        <w:ind w:left="0"/>
        <w:jc w:val="both"/>
      </w:pPr>
      <w:r>
        <w:rPr>
          <w:rFonts w:ascii="Times New Roman"/>
          <w:b w:val="false"/>
          <w:i w:val="false"/>
          <w:color w:val="000000"/>
          <w:sz w:val="28"/>
        </w:rPr>
        <w:t>
      58. Подразделение Управляющего или брокера и (или) дилера, являющегося Управляющим, осуществляющее управление рисками, осуществляет постоянный мониторинг деятельности Управляющего или брокера и (или) дилера, являющегося Управляющим, на постоянной основе производит оценку рисков и участвует в разработке мероприятий по снижению уровня рисков, а именно:</w:t>
      </w:r>
    </w:p>
    <w:bookmarkEnd w:id="149"/>
    <w:p>
      <w:pPr>
        <w:spacing w:after="0"/>
        <w:ind w:left="0"/>
        <w:jc w:val="both"/>
      </w:pPr>
      <w:r>
        <w:rPr>
          <w:rFonts w:ascii="Times New Roman"/>
          <w:b w:val="false"/>
          <w:i w:val="false"/>
          <w:color w:val="000000"/>
          <w:sz w:val="28"/>
        </w:rPr>
        <w:t>
      1) организовывает процесс сбора информации, необходимой для анализа и оценки рисков;</w:t>
      </w:r>
    </w:p>
    <w:p>
      <w:pPr>
        <w:spacing w:after="0"/>
        <w:ind w:left="0"/>
        <w:jc w:val="both"/>
      </w:pPr>
      <w:r>
        <w:rPr>
          <w:rFonts w:ascii="Times New Roman"/>
          <w:b w:val="false"/>
          <w:i w:val="false"/>
          <w:color w:val="000000"/>
          <w:sz w:val="28"/>
        </w:rPr>
        <w:t>
      2) разрабатывает и совершенствует методологию и организует процесс анализа и оценки рисков;</w:t>
      </w:r>
    </w:p>
    <w:p>
      <w:pPr>
        <w:spacing w:after="0"/>
        <w:ind w:left="0"/>
        <w:jc w:val="both"/>
      </w:pPr>
      <w:r>
        <w:rPr>
          <w:rFonts w:ascii="Times New Roman"/>
          <w:b w:val="false"/>
          <w:i w:val="false"/>
          <w:color w:val="000000"/>
          <w:sz w:val="28"/>
        </w:rPr>
        <w:t>
      3) планирует и инициирует мероприятия по снижению уровня рисков, в том числе разрабатывает принципы хеджирования финансовых инструментов, приобретенных за счет активов клиентов (инвестиционных фондов), принятых в инвестиционное управление, и (или) собственных активов;</w:t>
      </w:r>
    </w:p>
    <w:p>
      <w:pPr>
        <w:spacing w:after="0"/>
        <w:ind w:left="0"/>
        <w:jc w:val="both"/>
      </w:pPr>
      <w:r>
        <w:rPr>
          <w:rFonts w:ascii="Times New Roman"/>
          <w:b w:val="false"/>
          <w:i w:val="false"/>
          <w:color w:val="000000"/>
          <w:sz w:val="28"/>
        </w:rPr>
        <w:t>
      4) проводит анализ:</w:t>
      </w:r>
    </w:p>
    <w:p>
      <w:pPr>
        <w:spacing w:after="0"/>
        <w:ind w:left="0"/>
        <w:jc w:val="both"/>
      </w:pPr>
      <w:r>
        <w:rPr>
          <w:rFonts w:ascii="Times New Roman"/>
          <w:b w:val="false"/>
          <w:i w:val="false"/>
          <w:color w:val="000000"/>
          <w:sz w:val="28"/>
        </w:rPr>
        <w:t>
      бухгалтерского баланса Управляющего или брокера и (или) дилера, являющегося Управляющим, а также доходов и убытков по активам клиентов (инвестиционных фондов), принятых в инвестиционное управление, и (или) собственным активам;</w:t>
      </w:r>
    </w:p>
    <w:p>
      <w:pPr>
        <w:spacing w:after="0"/>
        <w:ind w:left="0"/>
        <w:jc w:val="both"/>
      </w:pPr>
      <w:r>
        <w:rPr>
          <w:rFonts w:ascii="Times New Roman"/>
          <w:b w:val="false"/>
          <w:i w:val="false"/>
          <w:color w:val="000000"/>
          <w:sz w:val="28"/>
        </w:rPr>
        <w:t>
      снижения ликвидности, изменения цен на финансовые инструменты;</w:t>
      </w:r>
    </w:p>
    <w:p>
      <w:pPr>
        <w:spacing w:after="0"/>
        <w:ind w:left="0"/>
        <w:jc w:val="both"/>
      </w:pPr>
      <w:r>
        <w:rPr>
          <w:rFonts w:ascii="Times New Roman"/>
          <w:b w:val="false"/>
          <w:i w:val="false"/>
          <w:color w:val="000000"/>
          <w:sz w:val="28"/>
        </w:rPr>
        <w:t>
      изменения степени рисков, связанных с инвестиционным портфелем, сформированным за счет активов клиентов (инвестиционных фондов), принятых в инвестиционное управление, и (или) собственных активов;</w:t>
      </w:r>
    </w:p>
    <w:p>
      <w:pPr>
        <w:spacing w:after="0"/>
        <w:ind w:left="0"/>
        <w:jc w:val="both"/>
      </w:pPr>
      <w:r>
        <w:rPr>
          <w:rFonts w:ascii="Times New Roman"/>
          <w:b w:val="false"/>
          <w:i w:val="false"/>
          <w:color w:val="000000"/>
          <w:sz w:val="28"/>
        </w:rPr>
        <w:t>
      прогнозирует воздействие на активы клиентов (инвестиционных фондов), принятых в инвестиционное управление, и (или) собственные активы, их рентабельность и ликвидность следующих факторов:</w:t>
      </w:r>
    </w:p>
    <w:p>
      <w:pPr>
        <w:spacing w:after="0"/>
        <w:ind w:left="0"/>
        <w:jc w:val="both"/>
      </w:pPr>
      <w:r>
        <w:rPr>
          <w:rFonts w:ascii="Times New Roman"/>
          <w:b w:val="false"/>
          <w:i w:val="false"/>
          <w:color w:val="000000"/>
          <w:sz w:val="28"/>
        </w:rPr>
        <w:t>
      страновой риск;</w:t>
      </w:r>
    </w:p>
    <w:p>
      <w:pPr>
        <w:spacing w:after="0"/>
        <w:ind w:left="0"/>
        <w:jc w:val="both"/>
      </w:pPr>
      <w:r>
        <w:rPr>
          <w:rFonts w:ascii="Times New Roman"/>
          <w:b w:val="false"/>
          <w:i w:val="false"/>
          <w:color w:val="000000"/>
          <w:sz w:val="28"/>
        </w:rPr>
        <w:t>
      валютный риск;</w:t>
      </w:r>
    </w:p>
    <w:p>
      <w:pPr>
        <w:spacing w:after="0"/>
        <w:ind w:left="0"/>
        <w:jc w:val="both"/>
      </w:pPr>
      <w:r>
        <w:rPr>
          <w:rFonts w:ascii="Times New Roman"/>
          <w:b w:val="false"/>
          <w:i w:val="false"/>
          <w:color w:val="000000"/>
          <w:sz w:val="28"/>
        </w:rPr>
        <w:t>
      риск досрочного погашения финансовых инструментов;</w:t>
      </w:r>
    </w:p>
    <w:p>
      <w:pPr>
        <w:spacing w:after="0"/>
        <w:ind w:left="0"/>
        <w:jc w:val="both"/>
      </w:pPr>
      <w:r>
        <w:rPr>
          <w:rFonts w:ascii="Times New Roman"/>
          <w:b w:val="false"/>
          <w:i w:val="false"/>
          <w:color w:val="000000"/>
          <w:sz w:val="28"/>
        </w:rPr>
        <w:t>
      риск изменения рейтинга эмитента;</w:t>
      </w:r>
    </w:p>
    <w:p>
      <w:pPr>
        <w:spacing w:after="0"/>
        <w:ind w:left="0"/>
        <w:jc w:val="both"/>
      </w:pPr>
      <w:r>
        <w:rPr>
          <w:rFonts w:ascii="Times New Roman"/>
          <w:b w:val="false"/>
          <w:i w:val="false"/>
          <w:color w:val="000000"/>
          <w:sz w:val="28"/>
        </w:rPr>
        <w:t>
      5) контролирует выполнение ответственными подразделениями Управляющего или брокера и (или) дилера, являющегося Управляющим, политики распределения рисков по видам проводимых операций, установленных лимитов по операциям с финансовыми инструментами, максимальных допустимых размеров убытков, лимитов "stop-loss", "take-profit", лимитов на гэп-позиции и норм по диверсификации инвестиционного портфеля;</w:t>
      </w:r>
    </w:p>
    <w:p>
      <w:pPr>
        <w:spacing w:after="0"/>
        <w:ind w:left="0"/>
        <w:jc w:val="both"/>
      </w:pPr>
      <w:r>
        <w:rPr>
          <w:rFonts w:ascii="Times New Roman"/>
          <w:b w:val="false"/>
          <w:i w:val="false"/>
          <w:color w:val="000000"/>
          <w:sz w:val="28"/>
        </w:rPr>
        <w:t>
      6) контролирует исполнение мероприятий по управлению рисками;</w:t>
      </w:r>
    </w:p>
    <w:p>
      <w:pPr>
        <w:spacing w:after="0"/>
        <w:ind w:left="0"/>
        <w:jc w:val="both"/>
      </w:pP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Управляющего или брокера и (или) дилера, являющегося Управляющим, и качество предоставляемых услуг.</w:t>
      </w:r>
    </w:p>
    <w:bookmarkStart w:name="z105" w:id="150"/>
    <w:p>
      <w:pPr>
        <w:spacing w:after="0"/>
        <w:ind w:left="0"/>
        <w:jc w:val="both"/>
      </w:pPr>
      <w:r>
        <w:rPr>
          <w:rFonts w:ascii="Times New Roman"/>
          <w:b w:val="false"/>
          <w:i w:val="false"/>
          <w:color w:val="000000"/>
          <w:sz w:val="28"/>
        </w:rPr>
        <w:t>
      59. В целях осуществления мониторинга результатов инвестиционной деятельности, доходов (расходов) по инвестиционному портфелю ответственными подразделениями Управляющего или брокера и (или) дилера, являющегося Управляющим, осуществляются следующие действия:</w:t>
      </w:r>
    </w:p>
    <w:bookmarkEnd w:id="150"/>
    <w:p>
      <w:pPr>
        <w:spacing w:after="0"/>
        <w:ind w:left="0"/>
        <w:jc w:val="both"/>
      </w:pPr>
      <w:r>
        <w:rPr>
          <w:rFonts w:ascii="Times New Roman"/>
          <w:b w:val="false"/>
          <w:i w:val="false"/>
          <w:color w:val="000000"/>
          <w:sz w:val="28"/>
        </w:rPr>
        <w:t>
      1) подразделение Управляющего или брокера и (или) дилера, являющегося Управляющим, ответственное за учет финансовых инструментов, приобретенных за счет активов клиентов (инвестиционных фондов), принятых в инвестиционное управление, и (или) собственных активов:</w:t>
      </w:r>
    </w:p>
    <w:p>
      <w:pPr>
        <w:spacing w:after="0"/>
        <w:ind w:left="0"/>
        <w:jc w:val="both"/>
      </w:pPr>
      <w:r>
        <w:rPr>
          <w:rFonts w:ascii="Times New Roman"/>
          <w:b w:val="false"/>
          <w:i w:val="false"/>
          <w:color w:val="000000"/>
          <w:sz w:val="28"/>
        </w:rPr>
        <w:t>
      ежедневно осуществляет расчет доходов и убытков, полученных в результате инвестиционной деятельности за счет активов клиентов (инвестиционных фондов), принятых в инвестиционное управление, и (или) собственных активов, и представляет соответствующую информацию в подразделение, осуществляющее управление рисками;</w:t>
      </w:r>
    </w:p>
    <w:p>
      <w:pPr>
        <w:spacing w:after="0"/>
        <w:ind w:left="0"/>
        <w:jc w:val="both"/>
      </w:pPr>
      <w:r>
        <w:rPr>
          <w:rFonts w:ascii="Times New Roman"/>
          <w:b w:val="false"/>
          <w:i w:val="false"/>
          <w:color w:val="000000"/>
          <w:sz w:val="28"/>
        </w:rPr>
        <w:t>
      применяет результаты проведенной подразделением, осуществляющим управление рисками, оценки справедливой стоимости финансового инструмента и необходимости ее корректировки в соответствии с международными стандартами финансовой отчетности в случае отсутствия рыночной стоимости данного финансового инструмента;</w:t>
      </w:r>
    </w:p>
    <w:p>
      <w:pPr>
        <w:spacing w:after="0"/>
        <w:ind w:left="0"/>
        <w:jc w:val="both"/>
      </w:pPr>
      <w:r>
        <w:rPr>
          <w:rFonts w:ascii="Times New Roman"/>
          <w:b w:val="false"/>
          <w:i w:val="false"/>
          <w:color w:val="000000"/>
          <w:sz w:val="28"/>
        </w:rPr>
        <w:t>
      2) подразделение, осуществляющее управление рисками, осуществляет мониторинг правильности определения справедливой цены по финансовым инструментам.</w:t>
      </w:r>
    </w:p>
    <w:bookmarkStart w:name="z106" w:id="151"/>
    <w:p>
      <w:pPr>
        <w:spacing w:after="0"/>
        <w:ind w:left="0"/>
        <w:jc w:val="both"/>
      </w:pPr>
      <w:r>
        <w:rPr>
          <w:rFonts w:ascii="Times New Roman"/>
          <w:b w:val="false"/>
          <w:i w:val="false"/>
          <w:color w:val="000000"/>
          <w:sz w:val="28"/>
        </w:rPr>
        <w:t>
      60. Подразделение, осуществляющее управление рисками, ведет мониторинг ликвидности инвестиционного портфеля посредством:</w:t>
      </w:r>
    </w:p>
    <w:bookmarkEnd w:id="151"/>
    <w:p>
      <w:pPr>
        <w:spacing w:after="0"/>
        <w:ind w:left="0"/>
        <w:jc w:val="both"/>
      </w:pPr>
      <w:r>
        <w:rPr>
          <w:rFonts w:ascii="Times New Roman"/>
          <w:b w:val="false"/>
          <w:i w:val="false"/>
          <w:color w:val="000000"/>
          <w:sz w:val="28"/>
        </w:rPr>
        <w:t>
      1) использования ежедневной таблицы сроков погашения активов и обязательств для вынесения заключения по срокам погашения инструментов хеджирования, рекомендуемых к приобретению;</w:t>
      </w:r>
    </w:p>
    <w:p>
      <w:pPr>
        <w:spacing w:after="0"/>
        <w:ind w:left="0"/>
        <w:jc w:val="both"/>
      </w:pPr>
      <w:r>
        <w:rPr>
          <w:rFonts w:ascii="Times New Roman"/>
          <w:b w:val="false"/>
          <w:i w:val="false"/>
          <w:color w:val="000000"/>
          <w:sz w:val="28"/>
        </w:rPr>
        <w:t>
      2) проведения регулярного мониторинга показателей дюрации по активам и обязательствам, чувствительных к изменению ставок вознаграждения;</w:t>
      </w:r>
    </w:p>
    <w:p>
      <w:pPr>
        <w:spacing w:after="0"/>
        <w:ind w:left="0"/>
        <w:jc w:val="both"/>
      </w:pPr>
      <w:r>
        <w:rPr>
          <w:rFonts w:ascii="Times New Roman"/>
          <w:b w:val="false"/>
          <w:i w:val="false"/>
          <w:color w:val="000000"/>
          <w:sz w:val="28"/>
        </w:rPr>
        <w:t>
      3) отслеживания риска потери ликвидности, валютного риска по операциям с финансовыми инструментами;</w:t>
      </w:r>
    </w:p>
    <w:p>
      <w:pPr>
        <w:spacing w:after="0"/>
        <w:ind w:left="0"/>
        <w:jc w:val="both"/>
      </w:pPr>
      <w:r>
        <w:rPr>
          <w:rFonts w:ascii="Times New Roman"/>
          <w:b w:val="false"/>
          <w:i w:val="false"/>
          <w:color w:val="000000"/>
          <w:sz w:val="28"/>
        </w:rPr>
        <w:t>
      4) проведения анализа открытых валютных позиций или моделей, в которых проводится оценка стоимости валютных инструментов, для определения чувствительности к изменениям валютных курсов;</w:t>
      </w:r>
    </w:p>
    <w:p>
      <w:pPr>
        <w:spacing w:after="0"/>
        <w:ind w:left="0"/>
        <w:jc w:val="both"/>
      </w:pPr>
      <w:r>
        <w:rPr>
          <w:rFonts w:ascii="Times New Roman"/>
          <w:b w:val="false"/>
          <w:i w:val="false"/>
          <w:color w:val="000000"/>
          <w:sz w:val="28"/>
        </w:rPr>
        <w:t>
      5) использования вспомогательной системы для анализа изменения валютных курсов.</w:t>
      </w:r>
    </w:p>
    <w:p>
      <w:pPr>
        <w:spacing w:after="0"/>
        <w:ind w:left="0"/>
        <w:jc w:val="both"/>
      </w:pPr>
      <w:r>
        <w:rPr>
          <w:rFonts w:ascii="Times New Roman"/>
          <w:b w:val="false"/>
          <w:i w:val="false"/>
          <w:color w:val="000000"/>
          <w:sz w:val="28"/>
        </w:rPr>
        <w:t>
      Подразделение, осуществляющее управление рисками, информирует инвестиционный комитет по позиции по риску потери ликвидности, валютному рискам, в динамике и по видам операций купли (продажи), и инициирует использование инструментов хеджирования валютного риска с помощью производных финансовых инструментов в соответствии с политикой управления активами и обязательствами, либо изменение размеров установленных лимитов.</w:t>
      </w:r>
    </w:p>
    <w:bookmarkStart w:name="z107" w:id="152"/>
    <w:p>
      <w:pPr>
        <w:spacing w:after="0"/>
        <w:ind w:left="0"/>
        <w:jc w:val="both"/>
      </w:pPr>
      <w:r>
        <w:rPr>
          <w:rFonts w:ascii="Times New Roman"/>
          <w:b w:val="false"/>
          <w:i w:val="false"/>
          <w:color w:val="000000"/>
          <w:sz w:val="28"/>
        </w:rPr>
        <w:t>
      61. Контроль потока денег и сроков погашения активов и обязательств проводится подразделением, ответственным за анализ структуры портфеля, посредством:</w:t>
      </w:r>
    </w:p>
    <w:bookmarkEnd w:id="152"/>
    <w:p>
      <w:pPr>
        <w:spacing w:after="0"/>
        <w:ind w:left="0"/>
        <w:jc w:val="both"/>
      </w:pPr>
      <w:r>
        <w:rPr>
          <w:rFonts w:ascii="Times New Roman"/>
          <w:b w:val="false"/>
          <w:i w:val="false"/>
          <w:color w:val="000000"/>
          <w:sz w:val="28"/>
        </w:rPr>
        <w:t>
      контроля необходимых денег с помощью графика потока денег и графика сроков погашения активов и обязательств;</w:t>
      </w:r>
    </w:p>
    <w:p>
      <w:pPr>
        <w:spacing w:after="0"/>
        <w:ind w:left="0"/>
        <w:jc w:val="both"/>
      </w:pPr>
      <w:r>
        <w:rPr>
          <w:rFonts w:ascii="Times New Roman"/>
          <w:b w:val="false"/>
          <w:i w:val="false"/>
          <w:color w:val="000000"/>
          <w:sz w:val="28"/>
        </w:rPr>
        <w:t>
      определения уровней доходности по срокам погашения с учетом допущений, вводимых в VAR модель;</w:t>
      </w:r>
    </w:p>
    <w:p>
      <w:pPr>
        <w:spacing w:after="0"/>
        <w:ind w:left="0"/>
        <w:jc w:val="both"/>
      </w:pPr>
      <w:r>
        <w:rPr>
          <w:rFonts w:ascii="Times New Roman"/>
          <w:b w:val="false"/>
          <w:i w:val="false"/>
          <w:color w:val="000000"/>
          <w:sz w:val="28"/>
        </w:rPr>
        <w:t>
      проведения мониторинга соблюдения лимита гэп-позиций.</w:t>
      </w:r>
    </w:p>
    <w:bookmarkStart w:name="z108" w:id="153"/>
    <w:p>
      <w:pPr>
        <w:spacing w:after="0"/>
        <w:ind w:left="0"/>
        <w:jc w:val="both"/>
      </w:pPr>
      <w:r>
        <w:rPr>
          <w:rFonts w:ascii="Times New Roman"/>
          <w:b w:val="false"/>
          <w:i w:val="false"/>
          <w:color w:val="000000"/>
          <w:sz w:val="28"/>
        </w:rPr>
        <w:t>
      62. Подразделение, осуществляющее управление рисками, располагает системой сбора и анализа данных для оценки процентных рисков и осуществляет мониторинг процентного риска, и его основных источников (различия в сроках погашения, ставки рынка заемного капитала, встроенные опционы).</w:t>
      </w:r>
    </w:p>
    <w:bookmarkEnd w:id="153"/>
    <w:bookmarkStart w:name="z109" w:id="154"/>
    <w:p>
      <w:pPr>
        <w:spacing w:after="0"/>
        <w:ind w:left="0"/>
        <w:jc w:val="both"/>
      </w:pPr>
      <w:r>
        <w:rPr>
          <w:rFonts w:ascii="Times New Roman"/>
          <w:b w:val="false"/>
          <w:i w:val="false"/>
          <w:color w:val="000000"/>
          <w:sz w:val="28"/>
        </w:rPr>
        <w:t>
      63. Подразделение, осуществляющее управление рисками:</w:t>
      </w:r>
    </w:p>
    <w:bookmarkEnd w:id="154"/>
    <w:p>
      <w:pPr>
        <w:spacing w:after="0"/>
        <w:ind w:left="0"/>
        <w:jc w:val="both"/>
      </w:pPr>
      <w:r>
        <w:rPr>
          <w:rFonts w:ascii="Times New Roman"/>
          <w:b w:val="false"/>
          <w:i w:val="false"/>
          <w:color w:val="000000"/>
          <w:sz w:val="28"/>
        </w:rPr>
        <w:t>
      1) проводит оценку справедливой стоимости финансовых инструментов в соответствии с международными стандартами финансовой отчетности на основе модели оценки риска и приведения текущих цен к рыночным, в том числе осуществляет стресс-тестинг по ценовому риску;</w:t>
      </w:r>
    </w:p>
    <w:p>
      <w:pPr>
        <w:spacing w:after="0"/>
        <w:ind w:left="0"/>
        <w:jc w:val="both"/>
      </w:pPr>
      <w:r>
        <w:rPr>
          <w:rFonts w:ascii="Times New Roman"/>
          <w:b w:val="false"/>
          <w:i w:val="false"/>
          <w:color w:val="000000"/>
          <w:sz w:val="28"/>
        </w:rPr>
        <w:t>
      2) проводит бэк-тестинг, а именно осуществляет проверку эффективности процедур измерения рисков с использованием исторических данных по Управляющему или брокеру и (или) дилеру, являющемуся Управляющим, и сравнением рассчитанных в результате проведения стресс-тестинга результатов с текущими (фактическими) результатами от совершения операций с финансовыми инструментами;</w:t>
      </w:r>
    </w:p>
    <w:p>
      <w:pPr>
        <w:spacing w:after="0"/>
        <w:ind w:left="0"/>
        <w:jc w:val="both"/>
      </w:pPr>
      <w:r>
        <w:rPr>
          <w:rFonts w:ascii="Times New Roman"/>
          <w:b w:val="false"/>
          <w:i w:val="false"/>
          <w:color w:val="000000"/>
          <w:sz w:val="28"/>
        </w:rPr>
        <w:t>
      3) представляет результаты стресс-тестингов и бэк-тестингов органу управления и в инвестиционный комитет, который использует результаты оценки риска и регулярных стресс-тестингов при принятии инвестиционных решений в отношении совершения сделок с финансовыми инструментами.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55"/>
    <w:p>
      <w:pPr>
        <w:spacing w:after="0"/>
        <w:ind w:left="0"/>
        <w:jc w:val="both"/>
      </w:pPr>
      <w:r>
        <w:rPr>
          <w:rFonts w:ascii="Times New Roman"/>
          <w:b w:val="false"/>
          <w:i w:val="false"/>
          <w:color w:val="000000"/>
          <w:sz w:val="28"/>
        </w:rPr>
        <w:t>
      64. Обеспечение мониторинга правовых рисков в инвестиционной деятельности Управляющего или брокера и (или) дилера, являющегося Управляющим, осуществляется посредством проведения следующих действий:</w:t>
      </w:r>
    </w:p>
    <w:bookmarkEnd w:id="155"/>
    <w:p>
      <w:pPr>
        <w:spacing w:after="0"/>
        <w:ind w:left="0"/>
        <w:jc w:val="both"/>
      </w:pPr>
      <w:r>
        <w:rPr>
          <w:rFonts w:ascii="Times New Roman"/>
          <w:b w:val="false"/>
          <w:i w:val="false"/>
          <w:color w:val="000000"/>
          <w:sz w:val="28"/>
        </w:rPr>
        <w:t>
      1) подразделение, осуществляющее управление рисками, на постоянной основе контролирует выполнение ответственными подразделениями пруденциальных нормативов и норм диверсификации, установленных уполномоченным органом;</w:t>
      </w:r>
    </w:p>
    <w:p>
      <w:pPr>
        <w:spacing w:after="0"/>
        <w:ind w:left="0"/>
        <w:jc w:val="both"/>
      </w:pPr>
      <w:r>
        <w:rPr>
          <w:rFonts w:ascii="Times New Roman"/>
          <w:b w:val="false"/>
          <w:i w:val="false"/>
          <w:color w:val="000000"/>
          <w:sz w:val="28"/>
        </w:rPr>
        <w:t>
      2) подразделение, осуществляющее функции правового обеспечения:</w:t>
      </w:r>
    </w:p>
    <w:p>
      <w:pPr>
        <w:spacing w:after="0"/>
        <w:ind w:left="0"/>
        <w:jc w:val="both"/>
      </w:pPr>
      <w:r>
        <w:rPr>
          <w:rFonts w:ascii="Times New Roman"/>
          <w:b w:val="false"/>
          <w:i w:val="false"/>
          <w:color w:val="000000"/>
          <w:sz w:val="28"/>
        </w:rPr>
        <w:t>
      осуществляет контроль за соответствием деятельности Управляющего или брокера и (или) дилера, являющегося Управляющим, требованиям законодательства Республики Казахстан о рынке ценных бумаг и инвестиционных фондах посредством проведения правовой экспертизы проектов договоров и документов, связанных с договорами, проектов внутренних документов Управляющего или брокера и (или) дилера, являющегося Управляющим, в том числе касающихся проведения операций с финансовыми инструментами;</w:t>
      </w:r>
    </w:p>
    <w:p>
      <w:pPr>
        <w:spacing w:after="0"/>
        <w:ind w:left="0"/>
        <w:jc w:val="both"/>
      </w:pPr>
      <w:r>
        <w:rPr>
          <w:rFonts w:ascii="Times New Roman"/>
          <w:b w:val="false"/>
          <w:i w:val="false"/>
          <w:color w:val="000000"/>
          <w:sz w:val="28"/>
        </w:rPr>
        <w:t>
      на постоянной основе обеспечивает ознакомление персонала с изменениями в законодательстве Республики Казахстан о рынке ценных бумаг и инвестиционных фондах, регулирующем деятельность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3) ответственные структурные подразделения Управляющего или брокера и (или) дилера, являющегося Управляющим, проводят:</w:t>
      </w:r>
    </w:p>
    <w:p>
      <w:pPr>
        <w:spacing w:after="0"/>
        <w:ind w:left="0"/>
        <w:jc w:val="both"/>
      </w:pPr>
      <w:r>
        <w:rPr>
          <w:rFonts w:ascii="Times New Roman"/>
          <w:b w:val="false"/>
          <w:i w:val="false"/>
          <w:color w:val="000000"/>
          <w:sz w:val="28"/>
        </w:rPr>
        <w:t>
      оценку возможности появления дополнительных рисков, связанных с изменением в законодательстве Республики Казахстан, регулирующем деятельность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осуществляют ознакомление персонала с внутренними документами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обеспечивают соблюдение Управляющим или брокером и (или) дилером, являющимся Управляющим, договорных отношений и осуществляют контроль соблюдения контрпартнерами своих обязательств.</w:t>
      </w:r>
    </w:p>
    <w:bookmarkStart w:name="z111" w:id="156"/>
    <w:p>
      <w:pPr>
        <w:spacing w:after="0"/>
        <w:ind w:left="0"/>
        <w:jc w:val="both"/>
      </w:pPr>
      <w:r>
        <w:rPr>
          <w:rFonts w:ascii="Times New Roman"/>
          <w:b w:val="false"/>
          <w:i w:val="false"/>
          <w:color w:val="000000"/>
          <w:sz w:val="28"/>
        </w:rPr>
        <w:t>
      65. Подразделениями Управляющего или брокера и (или) дилера, являющегося Управляющим, осуществляющими управление активами клиентов (инвестиционных фондов), принятыми в инвестиционное управление, и (или) собственными активами и управление рисками, с учетом информации, предоставляемой торговым подразделением либо организацией, осуществляющей брокерскую деятельность на рынке ценных бумаг, проводится анализ и мониторинг контрпартнеров посредством изучения их финансовой отчетности, сведений, необходимых для идентификации контрпартнеров (данных учредительных документов, бизнес-идентификационного номера (за исключением случаев, когда контрпартнеру не присвоены бизнес-идентификационный номер), а также адреса, места нахождения), другой информации, которая оказывает влияние на способность выполнять контрпартнерами принятые обязательства и, в случае обнаружения негативной информации о деятельности контрпартнеров, готовится отчет инвестиционному комитету Управляющего или брокера и (или) дилера, являющегося Управляющим.</w:t>
      </w:r>
    </w:p>
    <w:bookmarkEnd w:id="156"/>
    <w:bookmarkStart w:name="z112" w:id="157"/>
    <w:p>
      <w:pPr>
        <w:spacing w:after="0"/>
        <w:ind w:left="0"/>
        <w:jc w:val="both"/>
      </w:pPr>
      <w:r>
        <w:rPr>
          <w:rFonts w:ascii="Times New Roman"/>
          <w:b w:val="false"/>
          <w:i w:val="false"/>
          <w:color w:val="000000"/>
          <w:sz w:val="28"/>
        </w:rPr>
        <w:t>
      66. Подразделение Управляющего или брокера и (или) дилера, являющегося Управляющим, осуществляющее управление активами клиентов (инвестиционных фондов), принятых в инвестиционное управление и (или) собственными активами, на постоянной основе проводит мониторинг финансового состояния эмитента, появления информации, которая оказывает влияние на стоимость финансовых инструментов эмитента или способность выполнять им свои обязательства. Информация представляется не реже одного раза в квартал в инвестиционный комитет.</w:t>
      </w:r>
    </w:p>
    <w:bookmarkEnd w:id="157"/>
    <w:bookmarkStart w:name="z113" w:id="158"/>
    <w:p>
      <w:pPr>
        <w:spacing w:after="0"/>
        <w:ind w:left="0"/>
        <w:jc w:val="both"/>
      </w:pPr>
      <w:r>
        <w:rPr>
          <w:rFonts w:ascii="Times New Roman"/>
          <w:b w:val="false"/>
          <w:i w:val="false"/>
          <w:color w:val="000000"/>
          <w:sz w:val="28"/>
        </w:rPr>
        <w:t>
      67. Подразделение Управляющего или брокера и (или) дилера, являющегося Управляющим, осуществляющее управление рисками, инициирует подготовку плана мероприятий в случае наступления событий, которые оказывают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осуществляет сбор информации и координацию действий подразделений Управляющего или брокера и (или) дилера, являющегося Управляющим, в процессе подготовки соответствующего плана мероприятий.</w:t>
      </w:r>
    </w:p>
    <w:bookmarkEnd w:id="158"/>
    <w:p>
      <w:pPr>
        <w:spacing w:after="0"/>
        <w:ind w:left="0"/>
        <w:jc w:val="both"/>
      </w:pPr>
      <w:r>
        <w:rPr>
          <w:rFonts w:ascii="Times New Roman"/>
          <w:b w:val="false"/>
          <w:i w:val="false"/>
          <w:color w:val="000000"/>
          <w:sz w:val="28"/>
        </w:rPr>
        <w:t>
      Перечень событий, оказывающих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показатели, характеризующие наступление таких событий, утверждаются инвестиционным комитетом Управляющего или брокера и (или) дилера, являющегося Управляющим, определяются внутренними документами Управляющего или брокера и (или) дилера, являющегося Управляющим, и вышеуказанный перечень включает, но не ограничивается следующим:</w:t>
      </w:r>
    </w:p>
    <w:p>
      <w:pPr>
        <w:spacing w:after="0"/>
        <w:ind w:left="0"/>
        <w:jc w:val="both"/>
      </w:pPr>
      <w:r>
        <w:rPr>
          <w:rFonts w:ascii="Times New Roman"/>
          <w:b w:val="false"/>
          <w:i w:val="false"/>
          <w:color w:val="000000"/>
          <w:sz w:val="28"/>
        </w:rPr>
        <w:t>
      изменение ситуации на фондовом рынке, характеризующееся значительной волатильностью цен на финансовые инструменты в короткий промежуток времени;</w:t>
      </w:r>
    </w:p>
    <w:p>
      <w:pPr>
        <w:spacing w:after="0"/>
        <w:ind w:left="0"/>
        <w:jc w:val="both"/>
      </w:pPr>
      <w:r>
        <w:rPr>
          <w:rFonts w:ascii="Times New Roman"/>
          <w:b w:val="false"/>
          <w:i w:val="false"/>
          <w:color w:val="000000"/>
          <w:sz w:val="28"/>
        </w:rPr>
        <w:t>
      значительное сокращение активов, принятых в управление;</w:t>
      </w:r>
    </w:p>
    <w:p>
      <w:pPr>
        <w:spacing w:after="0"/>
        <w:ind w:left="0"/>
        <w:jc w:val="both"/>
      </w:pPr>
      <w:r>
        <w:rPr>
          <w:rFonts w:ascii="Times New Roman"/>
          <w:b w:val="false"/>
          <w:i w:val="false"/>
          <w:color w:val="000000"/>
          <w:sz w:val="28"/>
        </w:rPr>
        <w:t>
      ухудшение финансовых показателей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значительное снижение собственного капитала;</w:t>
      </w:r>
    </w:p>
    <w:p>
      <w:pPr>
        <w:spacing w:after="0"/>
        <w:ind w:left="0"/>
        <w:jc w:val="both"/>
      </w:pPr>
      <w:r>
        <w:rPr>
          <w:rFonts w:ascii="Times New Roman"/>
          <w:b w:val="false"/>
          <w:i w:val="false"/>
          <w:color w:val="000000"/>
          <w:sz w:val="28"/>
        </w:rPr>
        <w:t>
      значительное изменение значений пруденциальных нормативов;</w:t>
      </w:r>
    </w:p>
    <w:p>
      <w:pPr>
        <w:spacing w:after="0"/>
        <w:ind w:left="0"/>
        <w:jc w:val="both"/>
      </w:pPr>
      <w:r>
        <w:rPr>
          <w:rFonts w:ascii="Times New Roman"/>
          <w:b w:val="false"/>
          <w:i w:val="false"/>
          <w:color w:val="000000"/>
          <w:sz w:val="28"/>
        </w:rPr>
        <w:t xml:space="preserve">
      возникновение ситуаций, указанных в подпункте 1) </w:t>
      </w:r>
      <w:r>
        <w:rPr>
          <w:rFonts w:ascii="Times New Roman"/>
          <w:b w:val="false"/>
          <w:i w:val="false"/>
          <w:color w:val="000000"/>
          <w:sz w:val="28"/>
        </w:rPr>
        <w:t>пункта 34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приостановление действия или лишение лицензии на осуществление профессионального вида деятельности на рынке ценных бумаг;</w:t>
      </w:r>
    </w:p>
    <w:p>
      <w:pPr>
        <w:spacing w:after="0"/>
        <w:ind w:left="0"/>
        <w:jc w:val="both"/>
      </w:pPr>
      <w:r>
        <w:rPr>
          <w:rFonts w:ascii="Times New Roman"/>
          <w:b w:val="false"/>
          <w:i w:val="false"/>
          <w:color w:val="000000"/>
          <w:sz w:val="28"/>
        </w:rPr>
        <w:t>
      наступление дефолта или банкротства Управляющего или брокера и (или) дилера, являющегося Управляющим, или его крупного акционера;</w:t>
      </w:r>
    </w:p>
    <w:p>
      <w:pPr>
        <w:spacing w:after="0"/>
        <w:ind w:left="0"/>
        <w:jc w:val="both"/>
      </w:pPr>
      <w:r>
        <w:rPr>
          <w:rFonts w:ascii="Times New Roman"/>
          <w:b w:val="false"/>
          <w:i w:val="false"/>
          <w:color w:val="000000"/>
          <w:sz w:val="28"/>
        </w:rPr>
        <w:t>
      иное событие, определенное внутренними документами Управляющего или брокера и (или) дилера, являющегося Управляющим.</w:t>
      </w:r>
    </w:p>
    <w:p>
      <w:pPr>
        <w:spacing w:after="0"/>
        <w:ind w:left="0"/>
        <w:jc w:val="both"/>
      </w:pPr>
      <w:r>
        <w:rPr>
          <w:rFonts w:ascii="Times New Roman"/>
          <w:b w:val="false"/>
          <w:i w:val="false"/>
          <w:color w:val="000000"/>
          <w:sz w:val="28"/>
        </w:rPr>
        <w:t>
      План мероприятий, подготовленный подразделением Управляющего или брокера и (или) дилера, являющегося Управляющим, осуществляющим управление рисками, утверждается органом управления Управляющего или брокера и (или) дилера, являющегося Управляющим, после согласования с исполнительным органом.</w:t>
      </w:r>
    </w:p>
    <w:bookmarkStart w:name="z114" w:id="159"/>
    <w:p>
      <w:pPr>
        <w:spacing w:after="0"/>
        <w:ind w:left="0"/>
        <w:jc w:val="left"/>
      </w:pPr>
      <w:r>
        <w:rPr>
          <w:rFonts w:ascii="Times New Roman"/>
          <w:b/>
          <w:i w:val="false"/>
          <w:color w:val="000000"/>
        </w:rPr>
        <w:t xml:space="preserve"> Глава 7. Требования к организации мониторинга рисков в процессе деятельности брокера и (или) дилера или Управляющего, являющегося брокером и (или) дилером</w:t>
      </w:r>
    </w:p>
    <w:bookmarkEnd w:id="159"/>
    <w:p>
      <w:pPr>
        <w:spacing w:after="0"/>
        <w:ind w:left="0"/>
        <w:jc w:val="both"/>
      </w:pPr>
      <w:r>
        <w:rPr>
          <w:rFonts w:ascii="Times New Roman"/>
          <w:b w:val="false"/>
          <w:i w:val="false"/>
          <w:color w:val="ff0000"/>
          <w:sz w:val="28"/>
        </w:rPr>
        <w:t xml:space="preserve">
      Сноска. Заголовок главы 7 -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 w:id="160"/>
    <w:p>
      <w:pPr>
        <w:spacing w:after="0"/>
        <w:ind w:left="0"/>
        <w:jc w:val="both"/>
      </w:pPr>
      <w:r>
        <w:rPr>
          <w:rFonts w:ascii="Times New Roman"/>
          <w:b w:val="false"/>
          <w:i w:val="false"/>
          <w:color w:val="000000"/>
          <w:sz w:val="28"/>
        </w:rPr>
        <w:t>
      68. Подразделение брокера и (или) дилера или Управляющего, являющегося брокером и (или) дилером, осуществляющее управление рисками, осуществляет постоянный мониторинг деятельности брокера и (или) дилера или Управляющего, являющегося брокером и (или) дилером, на постоянной основе производит оценку рисков и участвует в разработке мероприятий по снижению уровня рисков, а именно:</w:t>
      </w:r>
    </w:p>
    <w:bookmarkEnd w:id="160"/>
    <w:p>
      <w:pPr>
        <w:spacing w:after="0"/>
        <w:ind w:left="0"/>
        <w:jc w:val="both"/>
      </w:pPr>
      <w:r>
        <w:rPr>
          <w:rFonts w:ascii="Times New Roman"/>
          <w:b w:val="false"/>
          <w:i w:val="false"/>
          <w:color w:val="000000"/>
          <w:sz w:val="28"/>
        </w:rPr>
        <w:t>
      1) организовывает процесс сбора информации, необходимой для анализа и оценки рисков;</w:t>
      </w:r>
    </w:p>
    <w:p>
      <w:pPr>
        <w:spacing w:after="0"/>
        <w:ind w:left="0"/>
        <w:jc w:val="both"/>
      </w:pPr>
      <w:r>
        <w:rPr>
          <w:rFonts w:ascii="Times New Roman"/>
          <w:b w:val="false"/>
          <w:i w:val="false"/>
          <w:color w:val="000000"/>
          <w:sz w:val="28"/>
        </w:rPr>
        <w:t>
      2) организовывает процесс мониторинга и анализа финансового состояния и платежеспособности клиентов;</w:t>
      </w:r>
    </w:p>
    <w:p>
      <w:pPr>
        <w:spacing w:after="0"/>
        <w:ind w:left="0"/>
        <w:jc w:val="both"/>
      </w:pPr>
      <w:r>
        <w:rPr>
          <w:rFonts w:ascii="Times New Roman"/>
          <w:b w:val="false"/>
          <w:i w:val="false"/>
          <w:color w:val="000000"/>
          <w:sz w:val="28"/>
        </w:rPr>
        <w:t>
      3) разрабатывает и совершенствует методологию и организует процесс анализа и оценки рисков;</w:t>
      </w:r>
    </w:p>
    <w:p>
      <w:pPr>
        <w:spacing w:after="0"/>
        <w:ind w:left="0"/>
        <w:jc w:val="both"/>
      </w:pPr>
      <w:r>
        <w:rPr>
          <w:rFonts w:ascii="Times New Roman"/>
          <w:b w:val="false"/>
          <w:i w:val="false"/>
          <w:color w:val="000000"/>
          <w:sz w:val="28"/>
        </w:rPr>
        <w:t>
      4) разрабатывает методы управления рисками;</w:t>
      </w:r>
    </w:p>
    <w:p>
      <w:pPr>
        <w:spacing w:after="0"/>
        <w:ind w:left="0"/>
        <w:jc w:val="both"/>
      </w:pPr>
      <w:r>
        <w:rPr>
          <w:rFonts w:ascii="Times New Roman"/>
          <w:b w:val="false"/>
          <w:i w:val="false"/>
          <w:color w:val="000000"/>
          <w:sz w:val="28"/>
        </w:rPr>
        <w:t>
      5) планирует и инициирует мероприятия по снижению уровня рисков;</w:t>
      </w:r>
    </w:p>
    <w:p>
      <w:pPr>
        <w:spacing w:after="0"/>
        <w:ind w:left="0"/>
        <w:jc w:val="both"/>
      </w:pPr>
      <w:r>
        <w:rPr>
          <w:rFonts w:ascii="Times New Roman"/>
          <w:b w:val="false"/>
          <w:i w:val="false"/>
          <w:color w:val="000000"/>
          <w:sz w:val="28"/>
        </w:rPr>
        <w:t>
      6) контролирует исполнение мероприятий по управлению рисками;</w:t>
      </w:r>
    </w:p>
    <w:p>
      <w:pPr>
        <w:spacing w:after="0"/>
        <w:ind w:left="0"/>
        <w:jc w:val="both"/>
      </w:pP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брокера и (или) дилера, или Управляющего, являющегося брокером и (или) дилером, и качество предоставляемых им услуг;</w:t>
      </w:r>
    </w:p>
    <w:p>
      <w:pPr>
        <w:spacing w:after="0"/>
        <w:ind w:left="0"/>
        <w:jc w:val="both"/>
      </w:pPr>
      <w:r>
        <w:rPr>
          <w:rFonts w:ascii="Times New Roman"/>
          <w:b w:val="false"/>
          <w:i w:val="false"/>
          <w:color w:val="000000"/>
          <w:sz w:val="28"/>
        </w:rPr>
        <w:t>
      8) осуществляет расчеты значения рисков на одного клиента согласно требованиям настоящей главы;</w:t>
      </w:r>
    </w:p>
    <w:p>
      <w:pPr>
        <w:spacing w:after="0"/>
        <w:ind w:left="0"/>
        <w:jc w:val="both"/>
      </w:pPr>
      <w:r>
        <w:rPr>
          <w:rFonts w:ascii="Times New Roman"/>
          <w:b w:val="false"/>
          <w:i w:val="false"/>
          <w:color w:val="000000"/>
          <w:sz w:val="28"/>
        </w:rPr>
        <w:t>
      9) разрабатывает критерии и предложения по ограничению рисков неплатежеспособности.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61"/>
    <w:p>
      <w:pPr>
        <w:spacing w:after="0"/>
        <w:ind w:left="0"/>
        <w:jc w:val="both"/>
      </w:pPr>
      <w:r>
        <w:rPr>
          <w:rFonts w:ascii="Times New Roman"/>
          <w:b w:val="false"/>
          <w:i w:val="false"/>
          <w:color w:val="000000"/>
          <w:sz w:val="28"/>
        </w:rPr>
        <w:t xml:space="preserve">
      69. Подразделение брокера и (или) дилера или Управляющего, являющегося брокером и (или) дилером, осуществляющее управление рисками, осуществляет контроль потока денег и сроков погашения активов и обязательств, в порядке, предусмотренном </w:t>
      </w:r>
      <w:r>
        <w:rPr>
          <w:rFonts w:ascii="Times New Roman"/>
          <w:b w:val="false"/>
          <w:i w:val="false"/>
          <w:color w:val="000000"/>
          <w:sz w:val="28"/>
        </w:rPr>
        <w:t>пунктом 61</w:t>
      </w:r>
      <w:r>
        <w:rPr>
          <w:rFonts w:ascii="Times New Roman"/>
          <w:b w:val="false"/>
          <w:i w:val="false"/>
          <w:color w:val="000000"/>
          <w:sz w:val="28"/>
        </w:rPr>
        <w:t xml:space="preserve"> Правил.</w:t>
      </w:r>
    </w:p>
    <w:bookmarkEnd w:id="161"/>
    <w:bookmarkStart w:name="z117" w:id="162"/>
    <w:p>
      <w:pPr>
        <w:spacing w:after="0"/>
        <w:ind w:left="0"/>
        <w:jc w:val="both"/>
      </w:pPr>
      <w:r>
        <w:rPr>
          <w:rFonts w:ascii="Times New Roman"/>
          <w:b w:val="false"/>
          <w:i w:val="false"/>
          <w:color w:val="000000"/>
          <w:sz w:val="28"/>
        </w:rPr>
        <w:t xml:space="preserve">
      70. Обеспечение мониторинга соблюдения договорных отношений, требований законодательства Республики Казахстан о рынке ценных бумаг и инвестиционных фондах и внутренних политик брокера и (или) дилера или Управляющего, являющегося брокером и (или) дилером, осуществляется в порядке, предусмотренном </w:t>
      </w:r>
      <w:r>
        <w:rPr>
          <w:rFonts w:ascii="Times New Roman"/>
          <w:b w:val="false"/>
          <w:i w:val="false"/>
          <w:color w:val="000000"/>
          <w:sz w:val="28"/>
        </w:rPr>
        <w:t>пунктом 64</w:t>
      </w:r>
      <w:r>
        <w:rPr>
          <w:rFonts w:ascii="Times New Roman"/>
          <w:b w:val="false"/>
          <w:i w:val="false"/>
          <w:color w:val="000000"/>
          <w:sz w:val="28"/>
        </w:rPr>
        <w:t xml:space="preserve"> Правил.</w:t>
      </w:r>
    </w:p>
    <w:bookmarkEnd w:id="162"/>
    <w:bookmarkStart w:name="z118" w:id="163"/>
    <w:p>
      <w:pPr>
        <w:spacing w:after="0"/>
        <w:ind w:left="0"/>
        <w:jc w:val="both"/>
      </w:pPr>
      <w:r>
        <w:rPr>
          <w:rFonts w:ascii="Times New Roman"/>
          <w:b w:val="false"/>
          <w:i w:val="false"/>
          <w:color w:val="000000"/>
          <w:sz w:val="28"/>
        </w:rPr>
        <w:t xml:space="preserve">
      71. Подразделениями брокера и (или) дилера или Управляющего, являющегося брокером и (или) дилером, осуществляющими управление собственными активами и управление рисками, проводится анализ и мониторинг контрпартнеров и клиентов, заключивших договор об оказании брокерских услуг, посредством изучения их финансовой отчетности, сведений, необходимых для идентификации контрпартнеров и клиентов (для юридических лиц - данных учредительных документов, бизнес-идентификационного номера (за исключением случаев, когда контрпартнеру или клиенту не присвоен бизнес-идентификационный номер), а также адреса места нахождения, для физических лиц - данных документа, удостоверяющего его личность, индивидуального идентификационного номера (за исключением случаев, когда клиенту не присвоен индивидуальный идентификационный номер)), другой информации, которая оказывает влияние на способность выполнять контрпартнером или клиентом принятые обязательства и, в случае обнаружения негативной информации о деятельности контрпартнеров и клиентов, готовится отчет органу управления (наблюдательному совету) брокера и (или) дилера и (или) инвестиционному комитету Управляющего, являющегося брокером и (или) дилером. </w:t>
      </w:r>
    </w:p>
    <w:bookmarkEnd w:id="163"/>
    <w:bookmarkStart w:name="z119" w:id="164"/>
    <w:p>
      <w:pPr>
        <w:spacing w:after="0"/>
        <w:ind w:left="0"/>
        <w:jc w:val="both"/>
      </w:pPr>
      <w:r>
        <w:rPr>
          <w:rFonts w:ascii="Times New Roman"/>
          <w:b w:val="false"/>
          <w:i w:val="false"/>
          <w:color w:val="000000"/>
          <w:sz w:val="28"/>
        </w:rPr>
        <w:t>
      72. Органом управления (наблюдательным советом) брокера и (или) дилера или Управляющего, являющегося брокером и (или) дилером, утверждается план мероприятий в случае наступления событий, которые оказывают влияние на значительное ухудшение финансового состояния брокера и (или) дилера или Управляющего, являющегося брокером и (или) дилером.</w:t>
      </w:r>
    </w:p>
    <w:bookmarkEnd w:id="164"/>
    <w:p>
      <w:pPr>
        <w:spacing w:after="0"/>
        <w:ind w:left="0"/>
        <w:jc w:val="both"/>
      </w:pPr>
      <w:r>
        <w:rPr>
          <w:rFonts w:ascii="Times New Roman"/>
          <w:b w:val="false"/>
          <w:i w:val="false"/>
          <w:color w:val="000000"/>
          <w:sz w:val="28"/>
        </w:rPr>
        <w:t xml:space="preserve">
      Перечень событий, оказывающих влияние на значительное ухудшение финансового состояния брокера и (или) дилера или Управляющего, являющегося брокером и (или) дилером, и (или) на его способность отвечать по своим обязательствам, а также, показатели, характеризующие наступление таких событий, утверждаются органом управления (наблюдательным советом) брокера и (или) дилера или Управляющего, являющегося брокером и (или) дилером, определяются внутренними документами брокера и (или) дилера или Управляющего, являющегося брокером и (или) дилером, и вышеуказанный перечень включает, но не ограничивается, событиями, указанными в </w:t>
      </w:r>
      <w:r>
        <w:rPr>
          <w:rFonts w:ascii="Times New Roman"/>
          <w:b w:val="false"/>
          <w:i w:val="false"/>
          <w:color w:val="000000"/>
          <w:sz w:val="28"/>
        </w:rPr>
        <w:t>пункте 67</w:t>
      </w:r>
      <w:r>
        <w:rPr>
          <w:rFonts w:ascii="Times New Roman"/>
          <w:b w:val="false"/>
          <w:i w:val="false"/>
          <w:color w:val="000000"/>
          <w:sz w:val="28"/>
        </w:rPr>
        <w:t xml:space="preserve"> Правил.</w:t>
      </w:r>
    </w:p>
    <w:bookmarkStart w:name="z120" w:id="165"/>
    <w:p>
      <w:pPr>
        <w:spacing w:after="0"/>
        <w:ind w:left="0"/>
        <w:jc w:val="both"/>
      </w:pPr>
      <w:r>
        <w:rPr>
          <w:rFonts w:ascii="Times New Roman"/>
          <w:b w:val="false"/>
          <w:i w:val="false"/>
          <w:color w:val="000000"/>
          <w:sz w:val="28"/>
        </w:rPr>
        <w:t>
      73.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рисков на одного клиента в течение торгового дня по мере осуществления следующих операций:</w:t>
      </w:r>
    </w:p>
    <w:bookmarkEnd w:id="165"/>
    <w:p>
      <w:pPr>
        <w:spacing w:after="0"/>
        <w:ind w:left="0"/>
        <w:jc w:val="both"/>
      </w:pPr>
      <w:r>
        <w:rPr>
          <w:rFonts w:ascii="Times New Roman"/>
          <w:b w:val="false"/>
          <w:i w:val="false"/>
          <w:color w:val="000000"/>
          <w:sz w:val="28"/>
        </w:rPr>
        <w:t>
      1) исполнения клиентского заказа на покупку (продажу) ценных бумаг на международных (иностранных) рынках ценных бумаг;</w:t>
      </w:r>
    </w:p>
    <w:p>
      <w:pPr>
        <w:spacing w:after="0"/>
        <w:ind w:left="0"/>
        <w:jc w:val="both"/>
      </w:pPr>
      <w:r>
        <w:rPr>
          <w:rFonts w:ascii="Times New Roman"/>
          <w:b w:val="false"/>
          <w:i w:val="false"/>
          <w:color w:val="000000"/>
          <w:sz w:val="28"/>
        </w:rPr>
        <w:t>
      2) подачи заявки от имени клиента на покупку (продажу) ценных бумаг в торговую систему организатора торгов;</w:t>
      </w:r>
    </w:p>
    <w:p>
      <w:pPr>
        <w:spacing w:after="0"/>
        <w:ind w:left="0"/>
        <w:jc w:val="both"/>
      </w:pPr>
      <w:r>
        <w:rPr>
          <w:rFonts w:ascii="Times New Roman"/>
          <w:b w:val="false"/>
          <w:i w:val="false"/>
          <w:color w:val="000000"/>
          <w:sz w:val="28"/>
        </w:rPr>
        <w:t>
      3) принятия приказа на списание денег с банковского счета клиента;</w:t>
      </w:r>
    </w:p>
    <w:p>
      <w:pPr>
        <w:spacing w:after="0"/>
        <w:ind w:left="0"/>
        <w:jc w:val="both"/>
      </w:pPr>
      <w:r>
        <w:rPr>
          <w:rFonts w:ascii="Times New Roman"/>
          <w:b w:val="false"/>
          <w:i w:val="false"/>
          <w:color w:val="000000"/>
          <w:sz w:val="28"/>
        </w:rPr>
        <w:t>
      4) зачисление денег на банковский счет клиента;</w:t>
      </w:r>
    </w:p>
    <w:p>
      <w:pPr>
        <w:spacing w:after="0"/>
        <w:ind w:left="0"/>
        <w:jc w:val="both"/>
      </w:pPr>
      <w:r>
        <w:rPr>
          <w:rFonts w:ascii="Times New Roman"/>
          <w:b w:val="false"/>
          <w:i w:val="false"/>
          <w:color w:val="000000"/>
          <w:sz w:val="28"/>
        </w:rPr>
        <w:t>
      5) принятия приказа на ввод (вывод) ценных бумаг в (из) номинальное (номинального) держание (держания);</w:t>
      </w:r>
    </w:p>
    <w:p>
      <w:pPr>
        <w:spacing w:after="0"/>
        <w:ind w:left="0"/>
        <w:jc w:val="both"/>
      </w:pPr>
      <w:r>
        <w:rPr>
          <w:rFonts w:ascii="Times New Roman"/>
          <w:b w:val="false"/>
          <w:i w:val="false"/>
          <w:color w:val="000000"/>
          <w:sz w:val="28"/>
        </w:rPr>
        <w:t>
      6) открытия операции прямого и обратного репо;</w:t>
      </w:r>
    </w:p>
    <w:p>
      <w:pPr>
        <w:spacing w:after="0"/>
        <w:ind w:left="0"/>
        <w:jc w:val="both"/>
      </w:pPr>
      <w:r>
        <w:rPr>
          <w:rFonts w:ascii="Times New Roman"/>
          <w:b w:val="false"/>
          <w:i w:val="false"/>
          <w:color w:val="000000"/>
          <w:sz w:val="28"/>
        </w:rPr>
        <w:t>
      7) исполнения клиентского заказа на продажу облигаций, выпущенных организацией - резидентом Республики Казахстан, на территории иностранного государства, в торговой системе организатора торгов в соответствии с законодательством Республики Казахстан о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66"/>
    <w:p>
      <w:pPr>
        <w:spacing w:after="0"/>
        <w:ind w:left="0"/>
        <w:jc w:val="both"/>
      </w:pPr>
      <w:r>
        <w:rPr>
          <w:rFonts w:ascii="Times New Roman"/>
          <w:b w:val="false"/>
          <w:i w:val="false"/>
          <w:color w:val="000000"/>
          <w:sz w:val="28"/>
        </w:rPr>
        <w:t>
      74. Расчет рисков на одного клиента не производится в отношении клиентов, от имени и (или) за счет которых в течение торгового дня брокер и (или) дилер или Управляющий, являющийся брокером и (или) дилером:</w:t>
      </w:r>
    </w:p>
    <w:bookmarkEnd w:id="166"/>
    <w:p>
      <w:pPr>
        <w:spacing w:after="0"/>
        <w:ind w:left="0"/>
        <w:jc w:val="both"/>
      </w:pPr>
      <w:r>
        <w:rPr>
          <w:rFonts w:ascii="Times New Roman"/>
          <w:b w:val="false"/>
          <w:i w:val="false"/>
          <w:color w:val="000000"/>
          <w:sz w:val="28"/>
        </w:rPr>
        <w:t xml:space="preserve">
      1) не принимал клиентские заказы на заключение сделок на международном (иностранном) рынке ценных бумаг; </w:t>
      </w:r>
    </w:p>
    <w:p>
      <w:pPr>
        <w:spacing w:after="0"/>
        <w:ind w:left="0"/>
        <w:jc w:val="both"/>
      </w:pPr>
      <w:r>
        <w:rPr>
          <w:rFonts w:ascii="Times New Roman"/>
          <w:b w:val="false"/>
          <w:i w:val="false"/>
          <w:color w:val="000000"/>
          <w:sz w:val="28"/>
        </w:rPr>
        <w:t>
      2) не подавал заявок на покупку (продажу) ценных бумаг в торговую систему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67"/>
    <w:p>
      <w:pPr>
        <w:spacing w:after="0"/>
        <w:ind w:left="0"/>
        <w:jc w:val="both"/>
      </w:pPr>
      <w:r>
        <w:rPr>
          <w:rFonts w:ascii="Times New Roman"/>
          <w:b w:val="false"/>
          <w:i w:val="false"/>
          <w:color w:val="000000"/>
          <w:sz w:val="28"/>
        </w:rPr>
        <w:t>
      76. Под термином "один клиент" следует понимать каждое физическое или юридическое лицо, в ходе исполнения клиентского заказа которого у брокера и (или) дилера или Управляющего, являющегося брокером и (или) дилером, могут возникнуть обязательства по поставке денег и (или) ценных бумаг перед третьей стороной, в результате заключения сделок с ценными бумагами.</w:t>
      </w:r>
    </w:p>
    <w:bookmarkEnd w:id="167"/>
    <w:bookmarkStart w:name="z125" w:id="168"/>
    <w:p>
      <w:pPr>
        <w:spacing w:after="0"/>
        <w:ind w:left="0"/>
        <w:jc w:val="both"/>
      </w:pPr>
      <w:r>
        <w:rPr>
          <w:rFonts w:ascii="Times New Roman"/>
          <w:b w:val="false"/>
          <w:i w:val="false"/>
          <w:color w:val="000000"/>
          <w:sz w:val="28"/>
        </w:rPr>
        <w:t>
      77. Размер риска на одного клиента рассчитывается как сумма условных и возможных обязательств брокера и (или) дилера или Управляющего, являющегося брокером и (или) дилером, по поставке денег и (или) ценных бумаг перед третьей стороной, за минусом суммы денег данного клиента, находящихся на банковском счете брокера и (или) дилера или Управляющего, являющегося брокером и (или) дилером, без учета суммы денег, являющихся обеспечением по заключенным маржинальным сделкам.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69"/>
    <w:p>
      <w:pPr>
        <w:spacing w:after="0"/>
        <w:ind w:left="0"/>
        <w:jc w:val="both"/>
      </w:pPr>
      <w:r>
        <w:rPr>
          <w:rFonts w:ascii="Times New Roman"/>
          <w:b w:val="false"/>
          <w:i w:val="false"/>
          <w:color w:val="000000"/>
          <w:sz w:val="28"/>
        </w:rPr>
        <w:t xml:space="preserve">
      78. Отношение размера риска брокера и (или) дилера или Управляющего, являющегося брокером и (или) дилером, на одного клиента к собственному капиталу брокера и (или) дилера или Управляющего, являющегося брокером и (или) дилером не превышает: </w:t>
      </w:r>
    </w:p>
    <w:bookmarkEnd w:id="169"/>
    <w:p>
      <w:pPr>
        <w:spacing w:after="0"/>
        <w:ind w:left="0"/>
        <w:jc w:val="both"/>
      </w:pPr>
      <w:r>
        <w:rPr>
          <w:rFonts w:ascii="Times New Roman"/>
          <w:b w:val="false"/>
          <w:i w:val="false"/>
          <w:color w:val="000000"/>
          <w:sz w:val="28"/>
        </w:rPr>
        <w:t>
      1) для клиентов, отнесенных в категорию с высокой степенью надежности (платежеспособности) - 0,25;</w:t>
      </w:r>
    </w:p>
    <w:p>
      <w:pPr>
        <w:spacing w:after="0"/>
        <w:ind w:left="0"/>
        <w:jc w:val="both"/>
      </w:pPr>
      <w:r>
        <w:rPr>
          <w:rFonts w:ascii="Times New Roman"/>
          <w:b w:val="false"/>
          <w:i w:val="false"/>
          <w:color w:val="000000"/>
          <w:sz w:val="28"/>
        </w:rPr>
        <w:t>
      2) для клиентов, отнесенных в категорию с низкой степенью надежности (платежеспособности) - 0,10.</w:t>
      </w:r>
    </w:p>
    <w:p>
      <w:pPr>
        <w:spacing w:after="0"/>
        <w:ind w:left="0"/>
        <w:jc w:val="both"/>
      </w:pPr>
      <w:r>
        <w:rPr>
          <w:rFonts w:ascii="Times New Roman"/>
          <w:b w:val="false"/>
          <w:i w:val="false"/>
          <w:color w:val="000000"/>
          <w:sz w:val="28"/>
        </w:rPr>
        <w:t>
      Для клиентов, отнесенных в прочие категории, определенные внутренними документами брокера и (или) дилера или Управляющего, являющегося брокером и (или) дилером, отношение размера риска устанавливается данным брокером и (или) дилером самостоятельно, но в пределах установленных подпунктами 1) и 2) настоящего пункта.</w:t>
      </w:r>
    </w:p>
    <w:bookmarkStart w:name="z127" w:id="170"/>
    <w:p>
      <w:pPr>
        <w:spacing w:after="0"/>
        <w:ind w:left="0"/>
        <w:jc w:val="both"/>
      </w:pPr>
      <w:r>
        <w:rPr>
          <w:rFonts w:ascii="Times New Roman"/>
          <w:b w:val="false"/>
          <w:i w:val="false"/>
          <w:color w:val="000000"/>
          <w:sz w:val="28"/>
        </w:rPr>
        <w:t xml:space="preserve">
      79. Расчет значений рисков на одного клиента оформляется в виде отчета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70"/>
    <w:bookmarkStart w:name="z128" w:id="171"/>
    <w:p>
      <w:pPr>
        <w:spacing w:after="0"/>
        <w:ind w:left="0"/>
        <w:jc w:val="both"/>
      </w:pPr>
      <w:r>
        <w:rPr>
          <w:rFonts w:ascii="Times New Roman"/>
          <w:b w:val="false"/>
          <w:i w:val="false"/>
          <w:color w:val="000000"/>
          <w:sz w:val="28"/>
        </w:rPr>
        <w:t xml:space="preserve">
      80. Брокер и (или) дилер или Управляющий, являющийся брокером и (или) дилером, обеспечивает ежедневное резервирование и хранение информации, изложенной в </w:t>
      </w:r>
      <w:r>
        <w:rPr>
          <w:rFonts w:ascii="Times New Roman"/>
          <w:b w:val="false"/>
          <w:i w:val="false"/>
          <w:color w:val="000000"/>
          <w:sz w:val="28"/>
        </w:rPr>
        <w:t>пункте 79</w:t>
      </w:r>
      <w:r>
        <w:rPr>
          <w:rFonts w:ascii="Times New Roman"/>
          <w:b w:val="false"/>
          <w:i w:val="false"/>
          <w:color w:val="000000"/>
          <w:sz w:val="28"/>
        </w:rPr>
        <w:t xml:space="preserve"> Правил на электронном носителе. </w:t>
      </w:r>
    </w:p>
    <w:bookmarkEnd w:id="171"/>
    <w:bookmarkStart w:name="z129" w:id="172"/>
    <w:p>
      <w:pPr>
        <w:spacing w:after="0"/>
        <w:ind w:left="0"/>
        <w:jc w:val="left"/>
      </w:pPr>
      <w:r>
        <w:rPr>
          <w:rFonts w:ascii="Times New Roman"/>
          <w:b/>
          <w:i w:val="false"/>
          <w:color w:val="000000"/>
        </w:rPr>
        <w:t xml:space="preserve"> Глава 8. Требования к организации внутреннего контроля и внутреннего аудита</w:t>
      </w:r>
    </w:p>
    <w:bookmarkEnd w:id="172"/>
    <w:p>
      <w:pPr>
        <w:spacing w:after="0"/>
        <w:ind w:left="0"/>
        <w:jc w:val="both"/>
      </w:pPr>
      <w:r>
        <w:rPr>
          <w:rFonts w:ascii="Times New Roman"/>
          <w:b w:val="false"/>
          <w:i w:val="false"/>
          <w:color w:val="ff0000"/>
          <w:sz w:val="28"/>
        </w:rPr>
        <w:t xml:space="preserve">
      Сноска. Заголовок главы 8 -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73"/>
    <w:p>
      <w:pPr>
        <w:spacing w:after="0"/>
        <w:ind w:left="0"/>
        <w:jc w:val="both"/>
      </w:pPr>
      <w:r>
        <w:rPr>
          <w:rFonts w:ascii="Times New Roman"/>
          <w:b w:val="false"/>
          <w:i w:val="false"/>
          <w:color w:val="000000"/>
          <w:sz w:val="28"/>
        </w:rPr>
        <w:t>
      81. Система внутреннего контроля в брокере и (или) дилере, Управляющем создается для:</w:t>
      </w:r>
    </w:p>
    <w:bookmarkEnd w:id="173"/>
    <w:p>
      <w:pPr>
        <w:spacing w:after="0"/>
        <w:ind w:left="0"/>
        <w:jc w:val="both"/>
      </w:pPr>
      <w:r>
        <w:rPr>
          <w:rFonts w:ascii="Times New Roman"/>
          <w:b w:val="false"/>
          <w:i w:val="false"/>
          <w:color w:val="000000"/>
          <w:sz w:val="28"/>
        </w:rPr>
        <w:t>
      1) обеспечения операционной и финансовой эффективности деятельности брокера и (или) дилера, Управляющего посредством проверки эффективности и рентабельности осуществления деятельности брокера и (или) дилера, Управляющего и определения вероятности убытков;</w:t>
      </w:r>
    </w:p>
    <w:p>
      <w:pPr>
        <w:spacing w:after="0"/>
        <w:ind w:left="0"/>
        <w:jc w:val="both"/>
      </w:pP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брокера и (или) дилера, Управляющего;</w:t>
      </w:r>
    </w:p>
    <w:p>
      <w:pPr>
        <w:spacing w:after="0"/>
        <w:ind w:left="0"/>
        <w:jc w:val="both"/>
      </w:pPr>
      <w:r>
        <w:rPr>
          <w:rFonts w:ascii="Times New Roman"/>
          <w:b w:val="false"/>
          <w:i w:val="false"/>
          <w:color w:val="000000"/>
          <w:sz w:val="28"/>
        </w:rPr>
        <w:t>
      3) обеспечения соблюдения требований законодательства Республики Казахстан о рынке ценных бумаг, инвестиционных фондах и акционерных обществах посредством проверки соблюдения брокером и (или) дилером, Управляющим требований законодательства Республики Казахстан о рынке ценных бумаг, инвестиционных фондах и акционерных обществах, документов, определяющих внутреннюю политику и процедуры брокера и (или) дилера, Управляющего.</w:t>
      </w:r>
    </w:p>
    <w:bookmarkStart w:name="z131" w:id="174"/>
    <w:p>
      <w:pPr>
        <w:spacing w:after="0"/>
        <w:ind w:left="0"/>
        <w:jc w:val="both"/>
      </w:pPr>
      <w:r>
        <w:rPr>
          <w:rFonts w:ascii="Times New Roman"/>
          <w:b w:val="false"/>
          <w:i w:val="false"/>
          <w:color w:val="000000"/>
          <w:sz w:val="28"/>
        </w:rPr>
        <w:t>
      82. Система внутреннего контроля состоит из пяти взаимосвязанных элементов:</w:t>
      </w:r>
    </w:p>
    <w:bookmarkEnd w:id="174"/>
    <w:p>
      <w:pPr>
        <w:spacing w:after="0"/>
        <w:ind w:left="0"/>
        <w:jc w:val="both"/>
      </w:pPr>
      <w:r>
        <w:rPr>
          <w:rFonts w:ascii="Times New Roman"/>
          <w:b w:val="false"/>
          <w:i w:val="false"/>
          <w:color w:val="000000"/>
          <w:sz w:val="28"/>
        </w:rPr>
        <w:t>
      1) управленческий контроль;</w:t>
      </w:r>
    </w:p>
    <w:p>
      <w:pPr>
        <w:spacing w:after="0"/>
        <w:ind w:left="0"/>
        <w:jc w:val="both"/>
      </w:pPr>
      <w:r>
        <w:rPr>
          <w:rFonts w:ascii="Times New Roman"/>
          <w:b w:val="false"/>
          <w:i w:val="false"/>
          <w:color w:val="000000"/>
          <w:sz w:val="28"/>
        </w:rPr>
        <w:t>
      2) выявление и оценка риска;</w:t>
      </w:r>
    </w:p>
    <w:p>
      <w:pPr>
        <w:spacing w:after="0"/>
        <w:ind w:left="0"/>
        <w:jc w:val="both"/>
      </w:pPr>
      <w:r>
        <w:rPr>
          <w:rFonts w:ascii="Times New Roman"/>
          <w:b w:val="false"/>
          <w:i w:val="false"/>
          <w:color w:val="000000"/>
          <w:sz w:val="28"/>
        </w:rPr>
        <w:t>
      3) осуществление контроля и разделение полномочий;</w:t>
      </w:r>
    </w:p>
    <w:p>
      <w:pPr>
        <w:spacing w:after="0"/>
        <w:ind w:left="0"/>
        <w:jc w:val="both"/>
      </w:pPr>
      <w:r>
        <w:rPr>
          <w:rFonts w:ascii="Times New Roman"/>
          <w:b w:val="false"/>
          <w:i w:val="false"/>
          <w:color w:val="000000"/>
          <w:sz w:val="28"/>
        </w:rPr>
        <w:t>
      4) информация и взаимодействие;</w:t>
      </w:r>
    </w:p>
    <w:p>
      <w:pPr>
        <w:spacing w:after="0"/>
        <w:ind w:left="0"/>
        <w:jc w:val="both"/>
      </w:pPr>
      <w:r>
        <w:rPr>
          <w:rFonts w:ascii="Times New Roman"/>
          <w:b w:val="false"/>
          <w:i w:val="false"/>
          <w:color w:val="000000"/>
          <w:sz w:val="28"/>
        </w:rPr>
        <w:t>
      5) мониторинг и исправление недостатков.</w:t>
      </w:r>
    </w:p>
    <w:bookmarkStart w:name="z132" w:id="175"/>
    <w:p>
      <w:pPr>
        <w:spacing w:after="0"/>
        <w:ind w:left="0"/>
        <w:jc w:val="both"/>
      </w:pPr>
      <w:r>
        <w:rPr>
          <w:rFonts w:ascii="Times New Roman"/>
          <w:b w:val="false"/>
          <w:i w:val="false"/>
          <w:color w:val="000000"/>
          <w:sz w:val="28"/>
        </w:rPr>
        <w:t>
      83. Функционирование системы внутреннего контроля должно происходить по принципу непрерывного поочередного прохождения следующих трех этапов:</w:t>
      </w:r>
    </w:p>
    <w:bookmarkEnd w:id="175"/>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брокера и (или) дилера, Управляющего;</w:t>
      </w:r>
    </w:p>
    <w:p>
      <w:pPr>
        <w:spacing w:after="0"/>
        <w:ind w:left="0"/>
        <w:jc w:val="both"/>
      </w:pPr>
      <w:r>
        <w:rPr>
          <w:rFonts w:ascii="Times New Roman"/>
          <w:b w:val="false"/>
          <w:i w:val="false"/>
          <w:color w:val="000000"/>
          <w:sz w:val="28"/>
        </w:rPr>
        <w:t>
      2) использование в работе процедур системы внутреннего контроля, определенных внутренними документами брокера и (или) дилера, Управляющего;</w:t>
      </w:r>
    </w:p>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Start w:name="z133" w:id="176"/>
    <w:p>
      <w:pPr>
        <w:spacing w:after="0"/>
        <w:ind w:left="0"/>
        <w:jc w:val="both"/>
      </w:pPr>
      <w:r>
        <w:rPr>
          <w:rFonts w:ascii="Times New Roman"/>
          <w:b w:val="false"/>
          <w:i w:val="false"/>
          <w:color w:val="000000"/>
          <w:sz w:val="28"/>
        </w:rPr>
        <w:t>
      84. Система внутреннего контроля включает:</w:t>
      </w:r>
    </w:p>
    <w:bookmarkEnd w:id="176"/>
    <w:p>
      <w:pPr>
        <w:spacing w:after="0"/>
        <w:ind w:left="0"/>
        <w:jc w:val="both"/>
      </w:pPr>
      <w:r>
        <w:rPr>
          <w:rFonts w:ascii="Times New Roman"/>
          <w:b w:val="false"/>
          <w:i w:val="false"/>
          <w:color w:val="000000"/>
          <w:sz w:val="28"/>
        </w:rPr>
        <w:t>
      1) проверку достижения брокером и (или) дилером, Управляющим поставленных целей и задач, посредством представления органу управления (наблюдательному совету) и исполнительному органу брокера и (или) дилера и (или) отчетов о текущих результатах финансовой деятельности брокера и (или) дилера, Управляющего, с приложением плановых показателей финансовой деятельности;</w:t>
      </w:r>
    </w:p>
    <w:p>
      <w:pPr>
        <w:spacing w:after="0"/>
        <w:ind w:left="0"/>
        <w:jc w:val="both"/>
      </w:pPr>
      <w:r>
        <w:rPr>
          <w:rFonts w:ascii="Times New Roman"/>
          <w:b w:val="false"/>
          <w:i w:val="false"/>
          <w:color w:val="000000"/>
          <w:sz w:val="28"/>
        </w:rPr>
        <w:t>
      2) постоянный контроль руководителем подразделения результатов деятельности подразделения, включающий мониторинг наличия отклонений от плановых показателей и выявление причин таких отклонений;</w:t>
      </w:r>
    </w:p>
    <w:p>
      <w:pPr>
        <w:spacing w:after="0"/>
        <w:ind w:left="0"/>
        <w:jc w:val="both"/>
      </w:pPr>
      <w:r>
        <w:rPr>
          <w:rFonts w:ascii="Times New Roman"/>
          <w:b w:val="false"/>
          <w:i w:val="false"/>
          <w:color w:val="000000"/>
          <w:sz w:val="28"/>
        </w:rPr>
        <w:t>
      3) проверку руководящими работниками брокера и (или) дилера, Управляющего стандартных отчетов руководителей подразделений брокера и (или) дилера, Управляющего о результатах деятельности подразделений, включающих указание отклонений от плановых показателей и причин невыполнения плановых показателей;</w:t>
      </w:r>
    </w:p>
    <w:p>
      <w:pPr>
        <w:spacing w:after="0"/>
        <w:ind w:left="0"/>
        <w:jc w:val="both"/>
      </w:pPr>
      <w:r>
        <w:rPr>
          <w:rFonts w:ascii="Times New Roman"/>
          <w:b w:val="false"/>
          <w:i w:val="false"/>
          <w:color w:val="000000"/>
          <w:sz w:val="28"/>
        </w:rPr>
        <w:t>
      4) двухуровневый контроль операций, осуществляемых брокером и (или) дилером, Управляющим в рамках лицензируемых видов деятельности;</w:t>
      </w:r>
    </w:p>
    <w:p>
      <w:pPr>
        <w:spacing w:after="0"/>
        <w:ind w:left="0"/>
        <w:jc w:val="both"/>
      </w:pPr>
      <w:r>
        <w:rPr>
          <w:rFonts w:ascii="Times New Roman"/>
          <w:b w:val="false"/>
          <w:i w:val="false"/>
          <w:color w:val="000000"/>
          <w:sz w:val="28"/>
        </w:rPr>
        <w:t>
      5) ограничение доступа к имуществу брокера и (или) дилера, Управляющего;</w:t>
      </w:r>
    </w:p>
    <w:p>
      <w:pPr>
        <w:spacing w:after="0"/>
        <w:ind w:left="0"/>
        <w:jc w:val="both"/>
      </w:pPr>
      <w:r>
        <w:rPr>
          <w:rFonts w:ascii="Times New Roman"/>
          <w:b w:val="false"/>
          <w:i w:val="false"/>
          <w:color w:val="000000"/>
          <w:sz w:val="28"/>
        </w:rPr>
        <w:t>
      6) проверку соблюдения установленных лимитов и реализацию мероприятий по устранению выявленных несоответствий;</w:t>
      </w:r>
    </w:p>
    <w:p>
      <w:pPr>
        <w:spacing w:after="0"/>
        <w:ind w:left="0"/>
        <w:jc w:val="both"/>
      </w:pPr>
      <w:r>
        <w:rPr>
          <w:rFonts w:ascii="Times New Roman"/>
          <w:b w:val="false"/>
          <w:i w:val="false"/>
          <w:color w:val="000000"/>
          <w:sz w:val="28"/>
        </w:rPr>
        <w:t>
      7) установление требований к перечню операций, требующих обязательной авторизации;</w:t>
      </w:r>
    </w:p>
    <w:p>
      <w:pPr>
        <w:spacing w:after="0"/>
        <w:ind w:left="0"/>
        <w:jc w:val="both"/>
      </w:pPr>
      <w:r>
        <w:rPr>
          <w:rFonts w:ascii="Times New Roman"/>
          <w:b w:val="false"/>
          <w:i w:val="false"/>
          <w:color w:val="000000"/>
          <w:sz w:val="28"/>
        </w:rPr>
        <w:t>
      8) проверку условий совершения операций и результатов применения моделей управления рисками, связанных с деятельностью брокера и (или) дилера, Управляющего;</w:t>
      </w:r>
    </w:p>
    <w:p>
      <w:pPr>
        <w:spacing w:after="0"/>
        <w:ind w:left="0"/>
        <w:jc w:val="both"/>
      </w:pPr>
      <w:r>
        <w:rPr>
          <w:rFonts w:ascii="Times New Roman"/>
          <w:b w:val="false"/>
          <w:i w:val="false"/>
          <w:color w:val="000000"/>
          <w:sz w:val="28"/>
        </w:rPr>
        <w:t>
      9) проверку своевременности, правильности, полноты и точности отражения проведенных операций в учете и отчетности брокера и (или) дилера, Управляющего;</w:t>
      </w:r>
    </w:p>
    <w:p>
      <w:pPr>
        <w:spacing w:after="0"/>
        <w:ind w:left="0"/>
        <w:jc w:val="both"/>
      </w:pPr>
      <w:r>
        <w:rPr>
          <w:rFonts w:ascii="Times New Roman"/>
          <w:b w:val="false"/>
          <w:i w:val="false"/>
          <w:color w:val="000000"/>
          <w:sz w:val="28"/>
        </w:rPr>
        <w:t>
      10) предотвращение использования услуг брокера и (или) дилера, Управляющего в преступных целях, целях легализации (отмывания) доходов, полученных преступным путем, 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77"/>
    <w:p>
      <w:pPr>
        <w:spacing w:after="0"/>
        <w:ind w:left="0"/>
        <w:jc w:val="both"/>
      </w:pPr>
      <w:r>
        <w:rPr>
          <w:rFonts w:ascii="Times New Roman"/>
          <w:b w:val="false"/>
          <w:i w:val="false"/>
          <w:color w:val="000000"/>
          <w:sz w:val="28"/>
        </w:rPr>
        <w:t>
       85. Служба внутреннего аудита создается с целью решения задач, возникающих при осуществлении органом управления (наблюдательным советом)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w:t>
      </w:r>
    </w:p>
    <w:bookmarkEnd w:id="177"/>
    <w:p>
      <w:pPr>
        <w:spacing w:after="0"/>
        <w:ind w:left="0"/>
        <w:jc w:val="both"/>
      </w:pPr>
      <w:r>
        <w:rPr>
          <w:rFonts w:ascii="Times New Roman"/>
          <w:b w:val="false"/>
          <w:i w:val="false"/>
          <w:color w:val="000000"/>
          <w:sz w:val="28"/>
        </w:rPr>
        <w:t>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брокера и (или) дилера, Управляющего, контроль за соблюдением внутренних правил и процедур брокера и (или) дилера, Управляющего, исполнением рекомендаций внутренних и внешних аудиторов, мер воздействия и требований уполномоченного органа, установленных в отношении осуществления деятельности на финансовом рынке, обеспечение своевременной и достоверной информацией о состоянии выполнения подразделениями и работниками брокера и (или) дилера, Управляющего, возложенных функций и задач, а также предоставление действенных и эффективных рекомендаций по улучшению работы.</w:t>
      </w:r>
    </w:p>
    <w:bookmarkStart w:name="z135" w:id="178"/>
    <w:p>
      <w:pPr>
        <w:spacing w:after="0"/>
        <w:ind w:left="0"/>
        <w:jc w:val="both"/>
      </w:pPr>
      <w:r>
        <w:rPr>
          <w:rFonts w:ascii="Times New Roman"/>
          <w:b w:val="false"/>
          <w:i w:val="false"/>
          <w:color w:val="000000"/>
          <w:sz w:val="28"/>
        </w:rPr>
        <w:t>
      86. Руководитель и работники службы внутреннего аудита назначаются органом управления (наблюдательным советом) брокера и (или) дилера, Управляющего и имеют доступ ко всем необходимым документам, связанным с деятельностью проверяемого подразделения брокера и (или) дилера, Управляющего, а также их филиалов и представительств, в том числе составляющим коммерческую и служебную тайну на рынке ценных бумаг.</w:t>
      </w:r>
    </w:p>
    <w:bookmarkEnd w:id="178"/>
    <w:bookmarkStart w:name="z136" w:id="179"/>
    <w:p>
      <w:pPr>
        <w:spacing w:after="0"/>
        <w:ind w:left="0"/>
        <w:jc w:val="both"/>
      </w:pPr>
      <w:r>
        <w:rPr>
          <w:rFonts w:ascii="Times New Roman"/>
          <w:b w:val="false"/>
          <w:i w:val="false"/>
          <w:color w:val="000000"/>
          <w:sz w:val="28"/>
        </w:rPr>
        <w:t>
      87. Руководитель и работники службы внутреннего аудита соответствуют следующим требованиям:</w:t>
      </w:r>
    </w:p>
    <w:bookmarkEnd w:id="179"/>
    <w:p>
      <w:pPr>
        <w:spacing w:after="0"/>
        <w:ind w:left="0"/>
        <w:jc w:val="both"/>
      </w:pPr>
      <w:r>
        <w:rPr>
          <w:rFonts w:ascii="Times New Roman"/>
          <w:b w:val="false"/>
          <w:i w:val="false"/>
          <w:color w:val="000000"/>
          <w:sz w:val="28"/>
        </w:rPr>
        <w:t>
      имеют высшее экономическое, юридическое, математическое или техническое образование;</w:t>
      </w:r>
    </w:p>
    <w:p>
      <w:pPr>
        <w:spacing w:after="0"/>
        <w:ind w:left="0"/>
        <w:jc w:val="both"/>
      </w:pPr>
      <w:r>
        <w:rPr>
          <w:rFonts w:ascii="Times New Roman"/>
          <w:b w:val="false"/>
          <w:i w:val="false"/>
          <w:color w:val="000000"/>
          <w:sz w:val="28"/>
        </w:rPr>
        <w:t>
      обладают знаниями законодательства Республики Казахстан, регулирующего деятельность брокера и (или) дилера, Управляющего;</w:t>
      </w:r>
    </w:p>
    <w:p>
      <w:pPr>
        <w:spacing w:after="0"/>
        <w:ind w:left="0"/>
        <w:jc w:val="both"/>
      </w:pPr>
      <w:r>
        <w:rPr>
          <w:rFonts w:ascii="Times New Roman"/>
          <w:b w:val="false"/>
          <w:i w:val="false"/>
          <w:color w:val="000000"/>
          <w:sz w:val="28"/>
        </w:rPr>
        <w:t>
      имеют стаж (опыт) работы в сфере предоставления или регулирования финансовых услуг не менее одного года;</w:t>
      </w:r>
    </w:p>
    <w:p>
      <w:pPr>
        <w:spacing w:after="0"/>
        <w:ind w:left="0"/>
        <w:jc w:val="both"/>
      </w:pPr>
      <w:r>
        <w:rPr>
          <w:rFonts w:ascii="Times New Roman"/>
          <w:b w:val="false"/>
          <w:i w:val="false"/>
          <w:color w:val="000000"/>
          <w:sz w:val="28"/>
        </w:rPr>
        <w:t>
      имеют сертификат или другой документ, удостоверяющий прохождение специализированных курсов по внутреннему аудиту или системе управления рисками;</w:t>
      </w:r>
    </w:p>
    <w:p>
      <w:pPr>
        <w:spacing w:after="0"/>
        <w:ind w:left="0"/>
        <w:jc w:val="both"/>
      </w:pPr>
      <w:r>
        <w:rPr>
          <w:rFonts w:ascii="Times New Roman"/>
          <w:b w:val="false"/>
          <w:i w:val="false"/>
          <w:color w:val="000000"/>
          <w:sz w:val="28"/>
        </w:rPr>
        <w:t>
      не имеют непогашенной или неснятой в установленном законом порядке судимости за преступления в сфере экономической деятельности или за преступления средней тяжести, тяжкие и особо тяжкие преступления.</w:t>
      </w:r>
    </w:p>
    <w:bookmarkStart w:name="z137" w:id="180"/>
    <w:p>
      <w:pPr>
        <w:spacing w:after="0"/>
        <w:ind w:left="0"/>
        <w:jc w:val="both"/>
      </w:pPr>
      <w:r>
        <w:rPr>
          <w:rFonts w:ascii="Times New Roman"/>
          <w:b w:val="false"/>
          <w:i w:val="false"/>
          <w:color w:val="000000"/>
          <w:sz w:val="28"/>
        </w:rPr>
        <w:t>
      88. Проверки деятельности подразделений, филиалов и представительств брокера и (или) дилера или Управляющего осуществляются службой внутреннего аудита в соответствии с планом проверок, утверждаемым органом управления (наблюдательным советом) брокера и (или) дилера, Управляющего.</w:t>
      </w:r>
    </w:p>
    <w:bookmarkEnd w:id="180"/>
    <w:p>
      <w:pPr>
        <w:spacing w:after="0"/>
        <w:ind w:left="0"/>
        <w:jc w:val="both"/>
      </w:pPr>
      <w:r>
        <w:rPr>
          <w:rFonts w:ascii="Times New Roman"/>
          <w:b w:val="false"/>
          <w:i w:val="false"/>
          <w:color w:val="000000"/>
          <w:sz w:val="28"/>
        </w:rPr>
        <w:t>
      Проверки деятельности инвестиционного комитета Управляющего или брокера и (или) дилера, являющегося Управляющим, осуществляются службой внутреннего аудита с периодичностью не менее одного раза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81"/>
    <w:p>
      <w:pPr>
        <w:spacing w:after="0"/>
        <w:ind w:left="0"/>
        <w:jc w:val="both"/>
      </w:pPr>
      <w:r>
        <w:rPr>
          <w:rFonts w:ascii="Times New Roman"/>
          <w:b w:val="false"/>
          <w:i w:val="false"/>
          <w:color w:val="000000"/>
          <w:sz w:val="28"/>
        </w:rPr>
        <w:t>
      89. Основными функциями службы внутреннего аудита являются:</w:t>
      </w:r>
    </w:p>
    <w:bookmarkEnd w:id="181"/>
    <w:p>
      <w:pPr>
        <w:spacing w:after="0"/>
        <w:ind w:left="0"/>
        <w:jc w:val="both"/>
      </w:pPr>
      <w:r>
        <w:rPr>
          <w:rFonts w:ascii="Times New Roman"/>
          <w:b w:val="false"/>
          <w:i w:val="false"/>
          <w:color w:val="000000"/>
          <w:sz w:val="28"/>
        </w:rPr>
        <w:t>
      1) проверка подразделений, филиалов и представительств брокера и (или) дилера, Управляющего, а также инвестиционного комитета Управляющего, брокера и (или) дилера, являющегося Управляющим;</w:t>
      </w:r>
    </w:p>
    <w:p>
      <w:pPr>
        <w:spacing w:after="0"/>
        <w:ind w:left="0"/>
        <w:jc w:val="both"/>
      </w:pPr>
      <w:r>
        <w:rPr>
          <w:rFonts w:ascii="Times New Roman"/>
          <w:b w:val="false"/>
          <w:i w:val="false"/>
          <w:color w:val="000000"/>
          <w:sz w:val="28"/>
        </w:rPr>
        <w:t>
      2) подготовка отчетов для органа управления (наблюдательного совета), исполнительного органа брокера и (или) дилера, Управляющего, по результатам проверок, содержащих выводы об имеющихся недостатках и рекомендации по улучшению деятельности брокера и (или) дилера, Управляющего;</w:t>
      </w:r>
    </w:p>
    <w:p>
      <w:pPr>
        <w:spacing w:after="0"/>
        <w:ind w:left="0"/>
        <w:jc w:val="both"/>
      </w:pPr>
      <w:r>
        <w:rPr>
          <w:rFonts w:ascii="Times New Roman"/>
          <w:b w:val="false"/>
          <w:i w:val="false"/>
          <w:color w:val="000000"/>
          <w:sz w:val="28"/>
        </w:rPr>
        <w:t>
      3) осуществление контроля за эффективностью принятых подразделениями и органами брокера и (или) дилера, Управляющего мер по результатам проверок подразделений брокера и (или) дилера, Управляющего, обеспечивающих снижение уровня выявленных рисков, или документирование принятия руководством подразделения и (или) органами управления (наблюдательным советом) решения о приемлемости выявленных рисков для брокера и (или) дилера, Управляющего;</w:t>
      </w:r>
    </w:p>
    <w:p>
      <w:pPr>
        <w:spacing w:after="0"/>
        <w:ind w:left="0"/>
        <w:jc w:val="both"/>
      </w:pPr>
      <w:r>
        <w:rPr>
          <w:rFonts w:ascii="Times New Roman"/>
          <w:b w:val="false"/>
          <w:i w:val="false"/>
          <w:color w:val="000000"/>
          <w:sz w:val="28"/>
        </w:rPr>
        <w:t>
      4) определение области риска в операциях брокера и (или) дилера, Управляющего, которые необходимо подвергнуть внутреннему и внешнему аудитам;</w:t>
      </w:r>
    </w:p>
    <w:p>
      <w:pPr>
        <w:spacing w:after="0"/>
        <w:ind w:left="0"/>
        <w:jc w:val="both"/>
      </w:pPr>
      <w:r>
        <w:rPr>
          <w:rFonts w:ascii="Times New Roman"/>
          <w:b w:val="false"/>
          <w:i w:val="false"/>
          <w:color w:val="000000"/>
          <w:sz w:val="28"/>
        </w:rPr>
        <w:t>
      5) оценка процедур внутреннего контроля брокера и (или) дилера, Управляющего на предмет обеспечения достоверности и точности финансовой информации, предоставляемой руководству брокера и (или) дилера, Управляющего, и внешним пользователям;</w:t>
      </w:r>
    </w:p>
    <w:p>
      <w:pPr>
        <w:spacing w:after="0"/>
        <w:ind w:left="0"/>
        <w:jc w:val="both"/>
      </w:pPr>
      <w:r>
        <w:rPr>
          <w:rFonts w:ascii="Times New Roman"/>
          <w:b w:val="false"/>
          <w:i w:val="false"/>
          <w:color w:val="000000"/>
          <w:sz w:val="28"/>
        </w:rPr>
        <w:t>
      6) другие функции, предусмотренные внутренними документами брокера и (или) дилера, Управляющего.</w:t>
      </w:r>
    </w:p>
    <w:bookmarkStart w:name="z139" w:id="182"/>
    <w:p>
      <w:pPr>
        <w:spacing w:after="0"/>
        <w:ind w:left="0"/>
        <w:jc w:val="both"/>
      </w:pPr>
      <w:r>
        <w:rPr>
          <w:rFonts w:ascii="Times New Roman"/>
          <w:b w:val="false"/>
          <w:i w:val="false"/>
          <w:color w:val="000000"/>
          <w:sz w:val="28"/>
        </w:rPr>
        <w:t>
      90. В ходе проверки, проводимой службой внутреннего аудита, рассмотрению подлежат следующие вопросы:</w:t>
      </w:r>
    </w:p>
    <w:bookmarkEnd w:id="182"/>
    <w:p>
      <w:pPr>
        <w:spacing w:after="0"/>
        <w:ind w:left="0"/>
        <w:jc w:val="both"/>
      </w:pPr>
      <w:r>
        <w:rPr>
          <w:rFonts w:ascii="Times New Roman"/>
          <w:b w:val="false"/>
          <w:i w:val="false"/>
          <w:color w:val="000000"/>
          <w:sz w:val="28"/>
        </w:rPr>
        <w:t>
      1) проверка процессов и процедур внутреннего контроля, оценка их эффективности;</w:t>
      </w:r>
    </w:p>
    <w:p>
      <w:pPr>
        <w:spacing w:after="0"/>
        <w:ind w:left="0"/>
        <w:jc w:val="both"/>
      </w:pPr>
      <w:r>
        <w:rPr>
          <w:rFonts w:ascii="Times New Roman"/>
          <w:b w:val="false"/>
          <w:i w:val="false"/>
          <w:color w:val="000000"/>
          <w:sz w:val="28"/>
        </w:rPr>
        <w:t>
      2) проверка полноты применения и эффективности методологии оценки рисков и процедур управления рисками (методик, программ, правил, порядков и процедур совершения операций);</w:t>
      </w:r>
    </w:p>
    <w:p>
      <w:pPr>
        <w:spacing w:after="0"/>
        <w:ind w:left="0"/>
        <w:jc w:val="both"/>
      </w:pPr>
      <w:r>
        <w:rPr>
          <w:rFonts w:ascii="Times New Roman"/>
          <w:b w:val="false"/>
          <w:i w:val="false"/>
          <w:color w:val="000000"/>
          <w:sz w:val="28"/>
        </w:rPr>
        <w:t>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w:t>
      </w:r>
    </w:p>
    <w:p>
      <w:pPr>
        <w:spacing w:after="0"/>
        <w:ind w:left="0"/>
        <w:jc w:val="both"/>
      </w:pPr>
      <w:r>
        <w:rPr>
          <w:rFonts w:ascii="Times New Roman"/>
          <w:b w:val="false"/>
          <w:i w:val="false"/>
          <w:color w:val="000000"/>
          <w:sz w:val="28"/>
        </w:rPr>
        <w:t>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w:t>
      </w:r>
    </w:p>
    <w:p>
      <w:pPr>
        <w:spacing w:after="0"/>
        <w:ind w:left="0"/>
        <w:jc w:val="both"/>
      </w:pPr>
      <w:r>
        <w:rPr>
          <w:rFonts w:ascii="Times New Roman"/>
          <w:b w:val="false"/>
          <w:i w:val="false"/>
          <w:color w:val="000000"/>
          <w:sz w:val="28"/>
        </w:rPr>
        <w:t>
      5) проверка достоверности, полноты, объективности и своевременности представления брокером и (или) дилером, Управляющим любых сведений и информации в рамках лицензируемых видов деятельности брокера и (или) дилера, Управляющего;</w:t>
      </w:r>
    </w:p>
    <w:p>
      <w:pPr>
        <w:spacing w:after="0"/>
        <w:ind w:left="0"/>
        <w:jc w:val="both"/>
      </w:pPr>
      <w:r>
        <w:rPr>
          <w:rFonts w:ascii="Times New Roman"/>
          <w:b w:val="false"/>
          <w:i w:val="false"/>
          <w:color w:val="000000"/>
          <w:sz w:val="28"/>
        </w:rPr>
        <w:t>
      6) проверка применяемых способов (методов) обеспечения сохранности имущества брокера и (или) дилера, Управляющего;</w:t>
      </w:r>
    </w:p>
    <w:p>
      <w:pPr>
        <w:spacing w:after="0"/>
        <w:ind w:left="0"/>
        <w:jc w:val="both"/>
      </w:pPr>
      <w:r>
        <w:rPr>
          <w:rFonts w:ascii="Times New Roman"/>
          <w:b w:val="false"/>
          <w:i w:val="false"/>
          <w:color w:val="000000"/>
          <w:sz w:val="28"/>
        </w:rPr>
        <w:t>
      7) оценка экономической целесообразности и эффективности совершаемых всех видов операций в рамках лицензируемых видов деятельности брокера и (или) дилера, Управляющего;</w:t>
      </w:r>
    </w:p>
    <w:p>
      <w:pPr>
        <w:spacing w:after="0"/>
        <w:ind w:left="0"/>
        <w:jc w:val="both"/>
      </w:pPr>
      <w:r>
        <w:rPr>
          <w:rFonts w:ascii="Times New Roman"/>
          <w:b w:val="false"/>
          <w:i w:val="false"/>
          <w:color w:val="000000"/>
          <w:sz w:val="28"/>
        </w:rPr>
        <w:t>
      8) проверка систем, созданных в целях соблюдения требований законодательства Республики Казахстан о рынке ценных бумаг, инвестиционных фондах и акционерных обществах;</w:t>
      </w:r>
    </w:p>
    <w:p>
      <w:pPr>
        <w:spacing w:after="0"/>
        <w:ind w:left="0"/>
        <w:jc w:val="both"/>
      </w:pPr>
      <w:r>
        <w:rPr>
          <w:rFonts w:ascii="Times New Roman"/>
          <w:b w:val="false"/>
          <w:i w:val="false"/>
          <w:color w:val="000000"/>
          <w:sz w:val="28"/>
        </w:rPr>
        <w:t>
      9) оценка работы службы управления персоналом брокера и (или) дилера, Управляющего;</w:t>
      </w:r>
    </w:p>
    <w:p>
      <w:pPr>
        <w:spacing w:after="0"/>
        <w:ind w:left="0"/>
        <w:jc w:val="both"/>
      </w:pPr>
      <w:r>
        <w:rPr>
          <w:rFonts w:ascii="Times New Roman"/>
          <w:b w:val="false"/>
          <w:i w:val="false"/>
          <w:color w:val="000000"/>
          <w:sz w:val="28"/>
        </w:rPr>
        <w:t>
      10) правильность обработки ежедневных балансов;</w:t>
      </w:r>
    </w:p>
    <w:p>
      <w:pPr>
        <w:spacing w:after="0"/>
        <w:ind w:left="0"/>
        <w:jc w:val="both"/>
      </w:pPr>
      <w:r>
        <w:rPr>
          <w:rFonts w:ascii="Times New Roman"/>
          <w:b w:val="false"/>
          <w:i w:val="false"/>
          <w:color w:val="000000"/>
          <w:sz w:val="28"/>
        </w:rPr>
        <w:t>
      11) соответствие учетной политики международным стандартам финансовой отчетности;</w:t>
      </w:r>
    </w:p>
    <w:p>
      <w:pPr>
        <w:spacing w:after="0"/>
        <w:ind w:left="0"/>
        <w:jc w:val="both"/>
      </w:pPr>
      <w:r>
        <w:rPr>
          <w:rFonts w:ascii="Times New Roman"/>
          <w:b w:val="false"/>
          <w:i w:val="false"/>
          <w:color w:val="000000"/>
          <w:sz w:val="28"/>
        </w:rPr>
        <w:t>
      12) наличие фактов незаконных манипуляций активами клиентов (инвестиционных фондов), принятыми в инвестиционное управление, и (или) собственными активами брокера и (или) дилера, Управляющего;</w:t>
      </w:r>
    </w:p>
    <w:p>
      <w:pPr>
        <w:spacing w:after="0"/>
        <w:ind w:left="0"/>
        <w:jc w:val="both"/>
      </w:pPr>
      <w:r>
        <w:rPr>
          <w:rFonts w:ascii="Times New Roman"/>
          <w:b w:val="false"/>
          <w:i w:val="false"/>
          <w:color w:val="000000"/>
          <w:sz w:val="28"/>
        </w:rPr>
        <w:t>
      13) правильность учета активов клиентов (инвестиционных фондов), принятых в инвестиционное управление, и (или) собственных активов брокера и (или) дилера, Управляющего.</w:t>
      </w:r>
    </w:p>
    <w:bookmarkStart w:name="z140" w:id="183"/>
    <w:p>
      <w:pPr>
        <w:spacing w:after="0"/>
        <w:ind w:left="0"/>
        <w:jc w:val="both"/>
      </w:pPr>
      <w:r>
        <w:rPr>
          <w:rFonts w:ascii="Times New Roman"/>
          <w:b w:val="false"/>
          <w:i w:val="false"/>
          <w:color w:val="000000"/>
          <w:sz w:val="28"/>
        </w:rPr>
        <w:t>
      91. Орган управления (наблюдательный совет) и исполнительный орган брокера и (или) дилера, Управляющего анализируют отчеты службы внутреннего аудита и принимают меры по недопущению нарушений, выявленных службой внутреннего аудита в дальнейшей деятельности брокера и (или) дилера, Управляющего.</w:t>
      </w:r>
    </w:p>
    <w:bookmarkEnd w:id="183"/>
    <w:p>
      <w:pPr>
        <w:spacing w:after="0"/>
        <w:ind w:left="0"/>
        <w:jc w:val="both"/>
      </w:pPr>
      <w:r>
        <w:rPr>
          <w:rFonts w:ascii="Times New Roman"/>
          <w:b w:val="false"/>
          <w:i w:val="false"/>
          <w:color w:val="000000"/>
          <w:sz w:val="28"/>
        </w:rPr>
        <w:t>
      Меры, указанные в части первой настоящего пункта, оформляются в виде решений (постановлений) органа управления (наблюдательного совета) и исполнительного органа брокера и (или) дилера, Управляющего.</w:t>
      </w:r>
    </w:p>
    <w:bookmarkStart w:name="z141" w:id="184"/>
    <w:p>
      <w:pPr>
        <w:spacing w:after="0"/>
        <w:ind w:left="0"/>
        <w:jc w:val="both"/>
      </w:pPr>
      <w:r>
        <w:rPr>
          <w:rFonts w:ascii="Times New Roman"/>
          <w:b w:val="false"/>
          <w:i w:val="false"/>
          <w:color w:val="000000"/>
          <w:sz w:val="28"/>
        </w:rPr>
        <w:t>
      92. Исполнительный орган брокера и (или) дилера, Управляющего осуществляет оперативный контроль за выполнением рекомендаций службы внутреннего аудита и отчитывается о результатах такого контроля перед органом управления (наблюдательным советом) брокера и (или) дилера, Управляющего.</w:t>
      </w:r>
    </w:p>
    <w:bookmarkEnd w:id="184"/>
    <w:bookmarkStart w:name="z174" w:id="185"/>
    <w:p>
      <w:pPr>
        <w:spacing w:after="0"/>
        <w:ind w:left="0"/>
        <w:jc w:val="both"/>
      </w:pPr>
      <w:r>
        <w:rPr>
          <w:rFonts w:ascii="Times New Roman"/>
          <w:b w:val="false"/>
          <w:i w:val="false"/>
          <w:color w:val="000000"/>
          <w:sz w:val="28"/>
        </w:rPr>
        <w:t>
      93. Отчеты службы внутреннего аудита брокера и (или) дилера, Управляющего предоставляются уполномоченному органу по его запросу.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86"/>
    <w:p>
      <w:pPr>
        <w:spacing w:after="0"/>
        <w:ind w:left="0"/>
        <w:jc w:val="left"/>
      </w:pPr>
      <w:r>
        <w:rPr>
          <w:rFonts w:ascii="Times New Roman"/>
          <w:b/>
          <w:i w:val="false"/>
          <w:color w:val="000000"/>
        </w:rPr>
        <w:t xml:space="preserve">  Глава 9. Требования к организации системы информационного обмена</w:t>
      </w:r>
    </w:p>
    <w:bookmarkEnd w:id="186"/>
    <w:p>
      <w:pPr>
        <w:spacing w:after="0"/>
        <w:ind w:left="0"/>
        <w:jc w:val="both"/>
      </w:pPr>
      <w:r>
        <w:rPr>
          <w:rFonts w:ascii="Times New Roman"/>
          <w:b w:val="false"/>
          <w:i w:val="false"/>
          <w:color w:val="ff0000"/>
          <w:sz w:val="28"/>
        </w:rPr>
        <w:t xml:space="preserve">
      Сноска. Заголовок главы 9 -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187"/>
    <w:p>
      <w:pPr>
        <w:spacing w:after="0"/>
        <w:ind w:left="0"/>
        <w:jc w:val="both"/>
      </w:pPr>
      <w:r>
        <w:rPr>
          <w:rFonts w:ascii="Times New Roman"/>
          <w:b w:val="false"/>
          <w:i w:val="false"/>
          <w:color w:val="000000"/>
          <w:sz w:val="28"/>
        </w:rPr>
        <w:t>
      94. Орган управления (наблюдательный совет) брокера и (или) дилера, Управляющего для осуществления своих функций получает от ответственных подразделений следующую документацию:</w:t>
      </w:r>
    </w:p>
    <w:bookmarkEnd w:id="187"/>
    <w:p>
      <w:pPr>
        <w:spacing w:after="0"/>
        <w:ind w:left="0"/>
        <w:jc w:val="both"/>
      </w:pPr>
      <w:r>
        <w:rPr>
          <w:rFonts w:ascii="Times New Roman"/>
          <w:b w:val="false"/>
          <w:i w:val="false"/>
          <w:color w:val="000000"/>
          <w:sz w:val="28"/>
        </w:rPr>
        <w:t>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p>
    <w:p>
      <w:pPr>
        <w:spacing w:after="0"/>
        <w:ind w:left="0"/>
        <w:jc w:val="both"/>
      </w:pPr>
      <w:r>
        <w:rPr>
          <w:rFonts w:ascii="Times New Roman"/>
          <w:b w:val="false"/>
          <w:i w:val="false"/>
          <w:color w:val="000000"/>
          <w:sz w:val="28"/>
        </w:rPr>
        <w:t>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p>
    <w:p>
      <w:pPr>
        <w:spacing w:after="0"/>
        <w:ind w:left="0"/>
        <w:jc w:val="both"/>
      </w:pPr>
      <w:r>
        <w:rPr>
          <w:rFonts w:ascii="Times New Roman"/>
          <w:b w:val="false"/>
          <w:i w:val="false"/>
          <w:color w:val="000000"/>
          <w:sz w:val="28"/>
        </w:rPr>
        <w:t>
      отчет о результатах осуществления контроля за выполнением рекомендаций службы внутреннего аудита по улучшению деятельности брокера и (или) дилера, Управляющего - на ежеквартальной основе;</w:t>
      </w:r>
    </w:p>
    <w:p>
      <w:pPr>
        <w:spacing w:after="0"/>
        <w:ind w:left="0"/>
        <w:jc w:val="both"/>
      </w:pPr>
      <w:r>
        <w:rPr>
          <w:rFonts w:ascii="Times New Roman"/>
          <w:b w:val="false"/>
          <w:i w:val="false"/>
          <w:color w:val="000000"/>
          <w:sz w:val="28"/>
        </w:rPr>
        <w:t>
      отчет о заключенных сделках инсайдеров брокера и (или) дилера, Управляющего, с указанием о наличии (отсутствии) конфликта интересов и принятых мерах, – по мере возникновения информации.</w:t>
      </w:r>
    </w:p>
    <w:p>
      <w:pPr>
        <w:spacing w:after="0"/>
        <w:ind w:left="0"/>
        <w:jc w:val="both"/>
      </w:pPr>
      <w:r>
        <w:rPr>
          <w:rFonts w:ascii="Times New Roman"/>
          <w:b w:val="false"/>
          <w:i w:val="false"/>
          <w:color w:val="000000"/>
          <w:sz w:val="28"/>
        </w:rPr>
        <w:t>
      Документация, указанная в части первой настоящего пункта, рассматривается на заседании органа управления (наблюдательного совета) брокера и (или) дилера, Управляющего или направляется его членам сопроводительным письмом, заверенным подписью первого руководителя брокера и (или) дилера, Управляющего или лицом, его замещающим.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88"/>
    <w:p>
      <w:pPr>
        <w:spacing w:after="0"/>
        <w:ind w:left="0"/>
        <w:jc w:val="both"/>
      </w:pPr>
      <w:r>
        <w:rPr>
          <w:rFonts w:ascii="Times New Roman"/>
          <w:b w:val="false"/>
          <w:i w:val="false"/>
          <w:color w:val="000000"/>
          <w:sz w:val="28"/>
        </w:rPr>
        <w:t xml:space="preserve">
      95. Орган управления Управляющего или брокера и (или) дилера, являющегося Управляющим, для осуществления своих функций в дополнение к документации, указанной в </w:t>
      </w:r>
      <w:r>
        <w:rPr>
          <w:rFonts w:ascii="Times New Roman"/>
          <w:b w:val="false"/>
          <w:i w:val="false"/>
          <w:color w:val="000000"/>
          <w:sz w:val="28"/>
        </w:rPr>
        <w:t>пункте 94</w:t>
      </w:r>
      <w:r>
        <w:rPr>
          <w:rFonts w:ascii="Times New Roman"/>
          <w:b w:val="false"/>
          <w:i w:val="false"/>
          <w:color w:val="000000"/>
          <w:sz w:val="28"/>
        </w:rPr>
        <w:t xml:space="preserve"> Правил, получает от ответственных подразделений следующую документацию:</w:t>
      </w:r>
    </w:p>
    <w:bookmarkEnd w:id="188"/>
    <w:p>
      <w:pPr>
        <w:spacing w:after="0"/>
        <w:ind w:left="0"/>
        <w:jc w:val="both"/>
      </w:pPr>
      <w:r>
        <w:rPr>
          <w:rFonts w:ascii="Times New Roman"/>
          <w:b w:val="false"/>
          <w:i w:val="false"/>
          <w:color w:val="000000"/>
          <w:sz w:val="28"/>
        </w:rPr>
        <w:t>
      1) результаты стресс-тестингов и бэк-тестингов – не реже одного раза в полгода;</w:t>
      </w:r>
    </w:p>
    <w:p>
      <w:pPr>
        <w:spacing w:after="0"/>
        <w:ind w:left="0"/>
        <w:jc w:val="both"/>
      </w:pPr>
      <w:r>
        <w:rPr>
          <w:rFonts w:ascii="Times New Roman"/>
          <w:b w:val="false"/>
          <w:i w:val="false"/>
          <w:color w:val="000000"/>
          <w:sz w:val="28"/>
        </w:rPr>
        <w:t>
      2)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p>
      <w:pPr>
        <w:spacing w:after="0"/>
        <w:ind w:left="0"/>
        <w:jc w:val="both"/>
      </w:pPr>
      <w:r>
        <w:rPr>
          <w:rFonts w:ascii="Times New Roman"/>
          <w:b w:val="false"/>
          <w:i w:val="false"/>
          <w:color w:val="000000"/>
          <w:sz w:val="28"/>
        </w:rPr>
        <w:t>
      3) отчет о принятых инвестиционных решениях - не реже, чем раз в полгода.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89"/>
    <w:p>
      <w:pPr>
        <w:spacing w:after="0"/>
        <w:ind w:left="0"/>
        <w:jc w:val="both"/>
      </w:pPr>
      <w:r>
        <w:rPr>
          <w:rFonts w:ascii="Times New Roman"/>
          <w:b w:val="false"/>
          <w:i w:val="false"/>
          <w:color w:val="000000"/>
          <w:sz w:val="28"/>
        </w:rPr>
        <w:t>
      96. Исполнительный орган брокера и (или) дилера, Управляющего для осуществления своих функций получает:</w:t>
      </w:r>
    </w:p>
    <w:bookmarkEnd w:id="189"/>
    <w:bookmarkStart w:name="z588" w:id="190"/>
    <w:p>
      <w:pPr>
        <w:spacing w:after="0"/>
        <w:ind w:left="0"/>
        <w:jc w:val="both"/>
      </w:pPr>
      <w:r>
        <w:rPr>
          <w:rFonts w:ascii="Times New Roman"/>
          <w:b w:val="false"/>
          <w:i w:val="false"/>
          <w:color w:val="000000"/>
          <w:sz w:val="28"/>
        </w:rPr>
        <w:t>
      1) от подразделения брокера и (или) дилера, Управляющего, осуществляющего анализ и планирование бюджета, -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p>
    <w:bookmarkEnd w:id="190"/>
    <w:bookmarkStart w:name="z589" w:id="191"/>
    <w:p>
      <w:pPr>
        <w:spacing w:after="0"/>
        <w:ind w:left="0"/>
        <w:jc w:val="both"/>
      </w:pPr>
      <w:r>
        <w:rPr>
          <w:rFonts w:ascii="Times New Roman"/>
          <w:b w:val="false"/>
          <w:i w:val="false"/>
          <w:color w:val="000000"/>
          <w:sz w:val="28"/>
        </w:rPr>
        <w:t>
      2) от подразделения брокера и (или) дилера, Управляющего, отслеживающего доходы (расходы) брокера и (или) дилера, Управляющего, - ежемесячные отчеты о доходах (расходах) брокера и (или) дилера, Управляющего с приложением плановых показателей финансовой деятельности, включая динамику по видам деятельности, территориальным и функциональным подразделениям, - на ежеквартальной основе;</w:t>
      </w:r>
    </w:p>
    <w:bookmarkEnd w:id="191"/>
    <w:bookmarkStart w:name="z590" w:id="192"/>
    <w:p>
      <w:pPr>
        <w:spacing w:after="0"/>
        <w:ind w:left="0"/>
        <w:jc w:val="both"/>
      </w:pPr>
      <w:r>
        <w:rPr>
          <w:rFonts w:ascii="Times New Roman"/>
          <w:b w:val="false"/>
          <w:i w:val="false"/>
          <w:color w:val="000000"/>
          <w:sz w:val="28"/>
        </w:rPr>
        <w:t>
      3) от службы внутреннего аудита -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p>
    <w:bookmarkEnd w:id="192"/>
    <w:bookmarkStart w:name="z591" w:id="193"/>
    <w:p>
      <w:pPr>
        <w:spacing w:after="0"/>
        <w:ind w:left="0"/>
        <w:jc w:val="both"/>
      </w:pPr>
      <w:r>
        <w:rPr>
          <w:rFonts w:ascii="Times New Roman"/>
          <w:b w:val="false"/>
          <w:i w:val="false"/>
          <w:color w:val="000000"/>
          <w:sz w:val="28"/>
        </w:rPr>
        <w:t>
      4) от подразделений, осуществляющих управление активами клиентов (инвестиционных фондов), принятых в инвестиционное управление, и (или) собственными активами и управление рисками, -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bookmarkEnd w:id="193"/>
    <w:bookmarkStart w:name="z592" w:id="194"/>
    <w:p>
      <w:pPr>
        <w:spacing w:after="0"/>
        <w:ind w:left="0"/>
        <w:jc w:val="both"/>
      </w:pPr>
      <w:r>
        <w:rPr>
          <w:rFonts w:ascii="Times New Roman"/>
          <w:b w:val="false"/>
          <w:i w:val="false"/>
          <w:color w:val="000000"/>
          <w:sz w:val="28"/>
        </w:rPr>
        <w:t>
      5) от подразделения информационного обеспечения брокера и (или) дилера, Управляющего раз в квартал информацию о:</w:t>
      </w:r>
    </w:p>
    <w:bookmarkEnd w:id="194"/>
    <w:bookmarkStart w:name="z593" w:id="195"/>
    <w:p>
      <w:pPr>
        <w:spacing w:after="0"/>
        <w:ind w:left="0"/>
        <w:jc w:val="both"/>
      </w:pPr>
      <w:r>
        <w:rPr>
          <w:rFonts w:ascii="Times New Roman"/>
          <w:b w:val="false"/>
          <w:i w:val="false"/>
          <w:color w:val="000000"/>
          <w:sz w:val="28"/>
        </w:rPr>
        <w:t>
      состоянии аппаратно-программных технических комплексов;</w:t>
      </w:r>
    </w:p>
    <w:bookmarkEnd w:id="195"/>
    <w:bookmarkStart w:name="z594" w:id="196"/>
    <w:p>
      <w:pPr>
        <w:spacing w:after="0"/>
        <w:ind w:left="0"/>
        <w:jc w:val="both"/>
      </w:pPr>
      <w:r>
        <w:rPr>
          <w:rFonts w:ascii="Times New Roman"/>
          <w:b w:val="false"/>
          <w:i w:val="false"/>
          <w:color w:val="000000"/>
          <w:sz w:val="28"/>
        </w:rPr>
        <w:t>
      технических проблемах, обнаруженных в течение отчетного периода;</w:t>
      </w:r>
    </w:p>
    <w:bookmarkEnd w:id="196"/>
    <w:bookmarkStart w:name="z595" w:id="197"/>
    <w:p>
      <w:pPr>
        <w:spacing w:after="0"/>
        <w:ind w:left="0"/>
        <w:jc w:val="both"/>
      </w:pPr>
      <w:r>
        <w:rPr>
          <w:rFonts w:ascii="Times New Roman"/>
          <w:b w:val="false"/>
          <w:i w:val="false"/>
          <w:color w:val="000000"/>
          <w:sz w:val="28"/>
        </w:rPr>
        <w:t>
      выявленных несоответствиях внутренним процедурам брокера и (или) дилера, Управляющего;</w:t>
      </w:r>
    </w:p>
    <w:bookmarkEnd w:id="197"/>
    <w:bookmarkStart w:name="z596" w:id="198"/>
    <w:p>
      <w:pPr>
        <w:spacing w:after="0"/>
        <w:ind w:left="0"/>
        <w:jc w:val="both"/>
      </w:pPr>
      <w:r>
        <w:rPr>
          <w:rFonts w:ascii="Times New Roman"/>
          <w:b w:val="false"/>
          <w:i w:val="false"/>
          <w:color w:val="000000"/>
          <w:sz w:val="28"/>
        </w:rPr>
        <w:t>
      мерах, принятых для устранения и предотвращения повторного возникновения проблем и несоответствий.</w:t>
      </w:r>
    </w:p>
    <w:bookmarkEnd w:id="198"/>
    <w:bookmarkStart w:name="z597" w:id="199"/>
    <w:p>
      <w:pPr>
        <w:spacing w:after="0"/>
        <w:ind w:left="0"/>
        <w:jc w:val="both"/>
      </w:pPr>
      <w:r>
        <w:rPr>
          <w:rFonts w:ascii="Times New Roman"/>
          <w:b w:val="false"/>
          <w:i w:val="false"/>
          <w:color w:val="000000"/>
          <w:sz w:val="28"/>
        </w:rPr>
        <w:t>
      Информация, указанная в настоящем подпункте, не предоставляется при использовании информационных ресурсов Национального Банка Республики Казахстан на основании соответствующего соглашения, заключенного между Управляющим и Национальным Банком;</w:t>
      </w:r>
    </w:p>
    <w:bookmarkEnd w:id="199"/>
    <w:bookmarkStart w:name="z598" w:id="200"/>
    <w:p>
      <w:pPr>
        <w:spacing w:after="0"/>
        <w:ind w:left="0"/>
        <w:jc w:val="both"/>
      </w:pPr>
      <w:r>
        <w:rPr>
          <w:rFonts w:ascii="Times New Roman"/>
          <w:b w:val="false"/>
          <w:i w:val="false"/>
          <w:color w:val="000000"/>
          <w:sz w:val="28"/>
        </w:rPr>
        <w:t>
      6) от всех подразделений брокера и (или) дилера, Управляющего:</w:t>
      </w:r>
    </w:p>
    <w:bookmarkEnd w:id="200"/>
    <w:bookmarkStart w:name="z599" w:id="201"/>
    <w:p>
      <w:pPr>
        <w:spacing w:after="0"/>
        <w:ind w:left="0"/>
        <w:jc w:val="both"/>
      </w:pPr>
      <w:r>
        <w:rPr>
          <w:rFonts w:ascii="Times New Roman"/>
          <w:b w:val="false"/>
          <w:i w:val="false"/>
          <w:color w:val="000000"/>
          <w:sz w:val="28"/>
        </w:rPr>
        <w:t>
      информацию о нарушении подразделениями либо работниками установленных требований законодательства Республики Казахстан о рынке ценных бумаг, инвестиционных фондах и акционерных обществах, а также трудового законодательства Республики Казахстан и внутренних документов брокера и (или) дилера, Управляющего - по мере возникновения информации;</w:t>
      </w:r>
    </w:p>
    <w:bookmarkEnd w:id="201"/>
    <w:bookmarkStart w:name="z600" w:id="202"/>
    <w:p>
      <w:pPr>
        <w:spacing w:after="0"/>
        <w:ind w:left="0"/>
        <w:jc w:val="both"/>
      </w:pPr>
      <w:r>
        <w:rPr>
          <w:rFonts w:ascii="Times New Roman"/>
          <w:b w:val="false"/>
          <w:i w:val="false"/>
          <w:color w:val="000000"/>
          <w:sz w:val="28"/>
        </w:rPr>
        <w:t>
      отчеты о самостоятельном выявлении нарушений и принятых мерах по устранению выявленных нарушений - по мере возникновения информации;</w:t>
      </w:r>
    </w:p>
    <w:bookmarkEnd w:id="202"/>
    <w:bookmarkStart w:name="z601" w:id="203"/>
    <w:p>
      <w:pPr>
        <w:spacing w:after="0"/>
        <w:ind w:left="0"/>
        <w:jc w:val="both"/>
      </w:pPr>
      <w:r>
        <w:rPr>
          <w:rFonts w:ascii="Times New Roman"/>
          <w:b w:val="false"/>
          <w:i w:val="false"/>
          <w:color w:val="000000"/>
          <w:sz w:val="28"/>
        </w:rPr>
        <w:t>
      7) от подразделения брокера и (или) дилера, Управляющего, осуществляющего управление рисками, - информацию о заключенных сделках инсайдеров брокера и (или) дилера, Управляющего, с указанием о наличии (отсутствии) конфликта интересов и принятых мерах, – по мере возникновения информации.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04"/>
    <w:p>
      <w:pPr>
        <w:spacing w:after="0"/>
        <w:ind w:left="0"/>
        <w:jc w:val="both"/>
      </w:pPr>
      <w:r>
        <w:rPr>
          <w:rFonts w:ascii="Times New Roman"/>
          <w:b w:val="false"/>
          <w:i w:val="false"/>
          <w:color w:val="000000"/>
          <w:sz w:val="28"/>
        </w:rPr>
        <w:t xml:space="preserve">
       97. Исполнительный орган Управляющего или брокера и (или) дилера, являющегося Управляющим, для осуществления своих функций в дополнение к информации, перечисленной в </w:t>
      </w:r>
      <w:r>
        <w:rPr>
          <w:rFonts w:ascii="Times New Roman"/>
          <w:b w:val="false"/>
          <w:i w:val="false"/>
          <w:color w:val="000000"/>
          <w:sz w:val="28"/>
        </w:rPr>
        <w:t>пункте 96</w:t>
      </w:r>
      <w:r>
        <w:rPr>
          <w:rFonts w:ascii="Times New Roman"/>
          <w:b w:val="false"/>
          <w:i w:val="false"/>
          <w:color w:val="000000"/>
          <w:sz w:val="28"/>
        </w:rPr>
        <w:t xml:space="preserve"> Правил, получает:</w:t>
      </w:r>
    </w:p>
    <w:bookmarkEnd w:id="204"/>
    <w:bookmarkStart w:name="z511" w:id="205"/>
    <w:p>
      <w:pPr>
        <w:spacing w:after="0"/>
        <w:ind w:left="0"/>
        <w:jc w:val="both"/>
      </w:pP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сбор, обработку и анализ информации, необходимой для принятия инвестиционного решения, -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205"/>
    <w:bookmarkStart w:name="z512" w:id="206"/>
    <w:p>
      <w:pPr>
        <w:spacing w:after="0"/>
        <w:ind w:left="0"/>
        <w:jc w:val="both"/>
      </w:pP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рисками, - информацию о соблюдении (использовании) установленных лимитов инвестирования - на ежеквартальной основе;</w:t>
      </w:r>
    </w:p>
    <w:bookmarkEnd w:id="206"/>
    <w:bookmarkStart w:name="z513" w:id="207"/>
    <w:p>
      <w:pPr>
        <w:spacing w:after="0"/>
        <w:ind w:left="0"/>
        <w:jc w:val="both"/>
      </w:pPr>
      <w:r>
        <w:rPr>
          <w:rFonts w:ascii="Times New Roman"/>
          <w:b w:val="false"/>
          <w:i w:val="false"/>
          <w:color w:val="000000"/>
          <w:sz w:val="28"/>
        </w:rPr>
        <w:t>
      3) от подразделений Управляющего или брокера и (или) дилера, являющегося Управляющим, осуществляющих управление активами клиентов (инвестиционных фондов), принятыми в инвестиционное управление, и (или) собственными активами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p>
    <w:bookmarkEnd w:id="207"/>
    <w:bookmarkStart w:name="z514" w:id="208"/>
    <w:p>
      <w:pPr>
        <w:spacing w:after="0"/>
        <w:ind w:left="0"/>
        <w:jc w:val="both"/>
      </w:pPr>
      <w:r>
        <w:rPr>
          <w:rFonts w:ascii="Times New Roman"/>
          <w:b w:val="false"/>
          <w:i w:val="false"/>
          <w:color w:val="000000"/>
          <w:sz w:val="28"/>
        </w:rPr>
        <w:t>
      4) от подразделения, осуществляющего инвестиционное управление активами клиентов (инвестиционных фондов), принятых в инвестиционное управление и (или) собственными активами Управляющего или брокера и (или) дилера, являющегося Управляющим, - отчет о принятых инвестиционных решениях - не реже, чем раз в полгода.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209"/>
    <w:p>
      <w:pPr>
        <w:spacing w:after="0"/>
        <w:ind w:left="0"/>
        <w:jc w:val="both"/>
      </w:pPr>
      <w:r>
        <w:rPr>
          <w:rFonts w:ascii="Times New Roman"/>
          <w:b w:val="false"/>
          <w:i w:val="false"/>
          <w:color w:val="000000"/>
          <w:sz w:val="28"/>
        </w:rPr>
        <w:t>
      98. Инвестиционный комитет Управляющего или брокера и (или) дилера, являющегося Управляющим, для осуществления своих функций получает от ответственных подразделений следующую информацию:</w:t>
      </w:r>
    </w:p>
    <w:bookmarkEnd w:id="209"/>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p>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а также рисках, связанных с инвестированием в финансовые инструменты данных эмитентов, - не реже одного раза в квартал;</w:t>
      </w:r>
    </w:p>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p>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p>
    <w:p>
      <w:pPr>
        <w:spacing w:after="0"/>
        <w:ind w:left="0"/>
        <w:jc w:val="both"/>
      </w:pP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p>
    <w:p>
      <w:pPr>
        <w:spacing w:after="0"/>
        <w:ind w:left="0"/>
        <w:jc w:val="both"/>
      </w:pPr>
      <w:r>
        <w:rPr>
          <w:rFonts w:ascii="Times New Roman"/>
          <w:b w:val="false"/>
          <w:i w:val="false"/>
          <w:color w:val="000000"/>
          <w:sz w:val="28"/>
        </w:rPr>
        <w:t>
      рекомендации и заключения по установлению (пересмотру) следующих лимитов по операциям с финансовыми инструментами:</w:t>
      </w:r>
    </w:p>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p>
    <w:p>
      <w:pPr>
        <w:spacing w:after="0"/>
        <w:ind w:left="0"/>
        <w:jc w:val="both"/>
      </w:pPr>
      <w:r>
        <w:rPr>
          <w:rFonts w:ascii="Times New Roman"/>
          <w:b w:val="false"/>
          <w:i w:val="false"/>
          <w:color w:val="000000"/>
          <w:sz w:val="28"/>
        </w:rPr>
        <w:t>
      лимиты "stop - loss" и "take - profit" - не реже одного раза в квартал;</w:t>
      </w:r>
    </w:p>
    <w:p>
      <w:pPr>
        <w:spacing w:after="0"/>
        <w:ind w:left="0"/>
        <w:jc w:val="both"/>
      </w:pP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p>
    <w:p>
      <w:pPr>
        <w:spacing w:after="0"/>
        <w:ind w:left="0"/>
        <w:jc w:val="both"/>
      </w:pP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p>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по активам клиентов, принятым в инвестиционное управление, - не реже одного раза в полгода;</w:t>
      </w:r>
    </w:p>
    <w:p>
      <w:pPr>
        <w:spacing w:after="0"/>
        <w:ind w:left="0"/>
        <w:jc w:val="both"/>
      </w:pPr>
      <w:r>
        <w:rPr>
          <w:rFonts w:ascii="Times New Roman"/>
          <w:b w:val="false"/>
          <w:i w:val="false"/>
          <w:color w:val="000000"/>
          <w:sz w:val="28"/>
        </w:rPr>
        <w:t>
      результаты бэк-тестингов - не реже одного раза в полгода;</w:t>
      </w:r>
    </w:p>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p>
      <w:pPr>
        <w:spacing w:after="0"/>
        <w:ind w:left="0"/>
        <w:jc w:val="both"/>
      </w:pPr>
      <w:r>
        <w:rPr>
          <w:rFonts w:ascii="Times New Roman"/>
          <w:b w:val="false"/>
          <w:i w:val="false"/>
          <w:color w:val="000000"/>
          <w:sz w:val="28"/>
        </w:rPr>
        <w:t>
      информацию об исполнении инвестиционных решений на еженедельной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10"/>
    <w:p>
      <w:pPr>
        <w:spacing w:after="0"/>
        <w:ind w:left="0"/>
        <w:jc w:val="both"/>
      </w:pPr>
      <w:r>
        <w:rPr>
          <w:rFonts w:ascii="Times New Roman"/>
          <w:b w:val="false"/>
          <w:i w:val="false"/>
          <w:color w:val="000000"/>
          <w:sz w:val="28"/>
        </w:rPr>
        <w:t>
      99. Служба внутреннего аудита получает от всех подразделений, филиалов, представительств, инвестиционного комитета (для Управляющих) и работников брокера и (или) дилера, Управляющего любые документы и информацию, необходимую для осуществления своих функций, в сроки, указанные в запросах службы внутреннего аудита.</w:t>
      </w:r>
    </w:p>
    <w:bookmarkEnd w:id="210"/>
    <w:bookmarkStart w:name="z149" w:id="211"/>
    <w:p>
      <w:pPr>
        <w:spacing w:after="0"/>
        <w:ind w:left="0"/>
        <w:jc w:val="both"/>
      </w:pPr>
      <w:r>
        <w:rPr>
          <w:rFonts w:ascii="Times New Roman"/>
          <w:b w:val="false"/>
          <w:i w:val="false"/>
          <w:color w:val="000000"/>
          <w:sz w:val="28"/>
        </w:rPr>
        <w:t>
      100.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p>
    <w:bookmarkEnd w:id="211"/>
    <w:bookmarkStart w:name="z603" w:id="212"/>
    <w:p>
      <w:pPr>
        <w:spacing w:after="0"/>
        <w:ind w:left="0"/>
        <w:jc w:val="both"/>
      </w:pPr>
      <w:r>
        <w:rPr>
          <w:rFonts w:ascii="Times New Roman"/>
          <w:b w:val="false"/>
          <w:i w:val="false"/>
          <w:color w:val="000000"/>
          <w:sz w:val="28"/>
        </w:rPr>
        <w:t>
      1) информацию о соблюдении (использовании) установленных лимитов инвестирования - на ежедневной основе;</w:t>
      </w:r>
    </w:p>
    <w:bookmarkEnd w:id="212"/>
    <w:bookmarkStart w:name="z604" w:id="213"/>
    <w:p>
      <w:pPr>
        <w:spacing w:after="0"/>
        <w:ind w:left="0"/>
        <w:jc w:val="both"/>
      </w:pPr>
      <w:r>
        <w:rPr>
          <w:rFonts w:ascii="Times New Roman"/>
          <w:b w:val="false"/>
          <w:i w:val="false"/>
          <w:color w:val="000000"/>
          <w:sz w:val="28"/>
        </w:rPr>
        <w:t>
      2) информацию о соблюдении (использовании) установленных лимитов "stop – loss" и "take – profit" - на еженедельной основе;</w:t>
      </w:r>
    </w:p>
    <w:bookmarkEnd w:id="213"/>
    <w:bookmarkStart w:name="z605" w:id="214"/>
    <w:p>
      <w:pPr>
        <w:spacing w:after="0"/>
        <w:ind w:left="0"/>
        <w:jc w:val="both"/>
      </w:pPr>
      <w:r>
        <w:rPr>
          <w:rFonts w:ascii="Times New Roman"/>
          <w:b w:val="false"/>
          <w:i w:val="false"/>
          <w:color w:val="000000"/>
          <w:sz w:val="28"/>
        </w:rPr>
        <w:t>
      3) отчет о результатах инвестиционного управления активами клиентов, переданных в инвестиционное управление, и (или) собственными активами, - не реже одного раза в квартал;</w:t>
      </w:r>
    </w:p>
    <w:bookmarkEnd w:id="214"/>
    <w:bookmarkStart w:name="z606" w:id="215"/>
    <w:p>
      <w:pPr>
        <w:spacing w:after="0"/>
        <w:ind w:left="0"/>
        <w:jc w:val="both"/>
      </w:pPr>
      <w:r>
        <w:rPr>
          <w:rFonts w:ascii="Times New Roman"/>
          <w:b w:val="false"/>
          <w:i w:val="false"/>
          <w:color w:val="000000"/>
          <w:sz w:val="28"/>
        </w:rPr>
        <w:t>
      4)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p>
    <w:bookmarkEnd w:id="215"/>
    <w:bookmarkStart w:name="z607" w:id="216"/>
    <w:p>
      <w:pPr>
        <w:spacing w:after="0"/>
        <w:ind w:left="0"/>
        <w:jc w:val="both"/>
      </w:pPr>
      <w:r>
        <w:rPr>
          <w:rFonts w:ascii="Times New Roman"/>
          <w:b w:val="false"/>
          <w:i w:val="false"/>
          <w:color w:val="000000"/>
          <w:sz w:val="28"/>
        </w:rPr>
        <w:t>
      5) ежеквартальную финансовую отчетность, в объеме определенном внутренними документами брокера и (или) дилера, Управляющего;</w:t>
      </w:r>
    </w:p>
    <w:bookmarkEnd w:id="216"/>
    <w:bookmarkStart w:name="z608" w:id="217"/>
    <w:p>
      <w:pPr>
        <w:spacing w:after="0"/>
        <w:ind w:left="0"/>
        <w:jc w:val="both"/>
      </w:pPr>
      <w:r>
        <w:rPr>
          <w:rFonts w:ascii="Times New Roman"/>
          <w:b w:val="false"/>
          <w:i w:val="false"/>
          <w:color w:val="000000"/>
          <w:sz w:val="28"/>
        </w:rPr>
        <w:t>
      6) информацию о структуре портфеля - на ежедневной основе;</w:t>
      </w:r>
    </w:p>
    <w:bookmarkEnd w:id="217"/>
    <w:bookmarkStart w:name="z609" w:id="218"/>
    <w:p>
      <w:pPr>
        <w:spacing w:after="0"/>
        <w:ind w:left="0"/>
        <w:jc w:val="both"/>
      </w:pPr>
      <w:r>
        <w:rPr>
          <w:rFonts w:ascii="Times New Roman"/>
          <w:b w:val="false"/>
          <w:i w:val="false"/>
          <w:color w:val="000000"/>
          <w:sz w:val="28"/>
        </w:rPr>
        <w:t>
      7)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p>
    <w:bookmarkEnd w:id="218"/>
    <w:bookmarkStart w:name="z610" w:id="219"/>
    <w:p>
      <w:pPr>
        <w:spacing w:after="0"/>
        <w:ind w:left="0"/>
        <w:jc w:val="both"/>
      </w:pPr>
      <w:r>
        <w:rPr>
          <w:rFonts w:ascii="Times New Roman"/>
          <w:b w:val="false"/>
          <w:i w:val="false"/>
          <w:color w:val="000000"/>
          <w:sz w:val="28"/>
        </w:rPr>
        <w:t>
      8) информацию о заключенных сделках инсайдеров брокера и (или) дилера, Управляющего – на ежемесячной основе.</w:t>
      </w:r>
    </w:p>
    <w:bookmarkEnd w:id="219"/>
    <w:bookmarkStart w:name="z611" w:id="220"/>
    <w:p>
      <w:pPr>
        <w:spacing w:after="0"/>
        <w:ind w:left="0"/>
        <w:jc w:val="both"/>
      </w:pPr>
      <w:r>
        <w:rPr>
          <w:rFonts w:ascii="Times New Roman"/>
          <w:b w:val="false"/>
          <w:i w:val="false"/>
          <w:color w:val="000000"/>
          <w:sz w:val="28"/>
        </w:rPr>
        <w:t>
      Информация, указанная в подпункте 1) части первой настоящего пункта, помимо сведений об установленных лимитах инвестирования содержит сведения о фактическом размере инвестиций, совершенных в отчетном периоде, и представляется отдельно по активам каждого клиента, принятым в инвестиционное управление, и собственным активам.</w:t>
      </w:r>
    </w:p>
    <w:bookmarkEnd w:id="220"/>
    <w:bookmarkStart w:name="z612" w:id="221"/>
    <w:p>
      <w:pPr>
        <w:spacing w:after="0"/>
        <w:ind w:left="0"/>
        <w:jc w:val="both"/>
      </w:pPr>
      <w:r>
        <w:rPr>
          <w:rFonts w:ascii="Times New Roman"/>
          <w:b w:val="false"/>
          <w:i w:val="false"/>
          <w:color w:val="000000"/>
          <w:sz w:val="28"/>
        </w:rPr>
        <w:t>
      Информация, указанная в подпункте 2) части первой настоящего пункта, помимо сведений об установленных лимитах "stop – loss" и "take – profit" содержит сведения о понесенных убытках (с учетом полученных доходов) и предпринятых мерах в случае превышения лимита в отчетном периоде, и представляется отдельно по активам каждого клиента, принятым в инвестиционное управление, и собственным активам.</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222"/>
    <w:p>
      <w:pPr>
        <w:spacing w:after="0"/>
        <w:ind w:left="0"/>
        <w:jc w:val="both"/>
      </w:pPr>
      <w:r>
        <w:rPr>
          <w:rFonts w:ascii="Times New Roman"/>
          <w:b w:val="false"/>
          <w:i w:val="false"/>
          <w:color w:val="000000"/>
          <w:sz w:val="28"/>
        </w:rPr>
        <w:t>
      101. Информационный обмен между подразделениями брокера и (или) дилера, Управляющего осуществляется в соответствии с внутренними документами брокера и (или) дилера, Управляющего.</w:t>
      </w:r>
    </w:p>
    <w:bookmarkEnd w:id="222"/>
    <w:bookmarkStart w:name="z151" w:id="223"/>
    <w:p>
      <w:pPr>
        <w:spacing w:after="0"/>
        <w:ind w:left="0"/>
        <w:jc w:val="both"/>
      </w:pPr>
      <w:r>
        <w:rPr>
          <w:rFonts w:ascii="Times New Roman"/>
          <w:b w:val="false"/>
          <w:i w:val="false"/>
          <w:color w:val="000000"/>
          <w:sz w:val="28"/>
        </w:rPr>
        <w:t>
      102. Информационный обмен между Управляющим и организацией, осуществляющей брокерскую деятельность на рынке ценных бумаг, осуществляется в соответствии с договором об оказании брокерских услуг.</w:t>
      </w:r>
    </w:p>
    <w:bookmarkEnd w:id="223"/>
    <w:bookmarkStart w:name="z152" w:id="224"/>
    <w:p>
      <w:pPr>
        <w:spacing w:after="0"/>
        <w:ind w:left="0"/>
        <w:jc w:val="left"/>
      </w:pPr>
      <w:r>
        <w:rPr>
          <w:rFonts w:ascii="Times New Roman"/>
          <w:b/>
          <w:i w:val="false"/>
          <w:color w:val="000000"/>
        </w:rPr>
        <w:t xml:space="preserve"> Глава 10. Требования к программно-техническому обеспечению, используемому для поддержания системы управления рисками</w:t>
      </w:r>
    </w:p>
    <w:bookmarkEnd w:id="224"/>
    <w:p>
      <w:pPr>
        <w:spacing w:after="0"/>
        <w:ind w:left="0"/>
        <w:jc w:val="both"/>
      </w:pPr>
      <w:r>
        <w:rPr>
          <w:rFonts w:ascii="Times New Roman"/>
          <w:b w:val="false"/>
          <w:i w:val="false"/>
          <w:color w:val="ff0000"/>
          <w:sz w:val="28"/>
        </w:rPr>
        <w:t xml:space="preserve">
      Сноска. Заголовок главы 10 -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225"/>
    <w:p>
      <w:pPr>
        <w:spacing w:after="0"/>
        <w:ind w:left="0"/>
        <w:jc w:val="both"/>
      </w:pPr>
      <w:r>
        <w:rPr>
          <w:rFonts w:ascii="Times New Roman"/>
          <w:b w:val="false"/>
          <w:i w:val="false"/>
          <w:color w:val="000000"/>
          <w:sz w:val="28"/>
        </w:rPr>
        <w:t>
      103. Автоматизации подлежат следующие виды деятельности брокера и (или) дилера, Управляющего:</w:t>
      </w:r>
    </w:p>
    <w:bookmarkEnd w:id="225"/>
    <w:p>
      <w:pPr>
        <w:spacing w:after="0"/>
        <w:ind w:left="0"/>
        <w:jc w:val="both"/>
      </w:pPr>
      <w:r>
        <w:rPr>
          <w:rFonts w:ascii="Times New Roman"/>
          <w:b w:val="false"/>
          <w:i w:val="false"/>
          <w:color w:val="000000"/>
          <w:sz w:val="28"/>
        </w:rPr>
        <w:t>
      1) управление инвестиционным портфелем (проведение операций с финансовыми инструментами, осуществление расчетов по проведенным операциям, контроль за лимитами инвестирования, ведение журналов учета);</w:t>
      </w:r>
    </w:p>
    <w:p>
      <w:pPr>
        <w:spacing w:after="0"/>
        <w:ind w:left="0"/>
        <w:jc w:val="both"/>
      </w:pPr>
      <w:r>
        <w:rPr>
          <w:rFonts w:ascii="Times New Roman"/>
          <w:b w:val="false"/>
          <w:i w:val="false"/>
          <w:color w:val="000000"/>
          <w:sz w:val="28"/>
        </w:rPr>
        <w:t>
      2) сбор информации, необходимой для функционирования системы управления рисками;</w:t>
      </w:r>
    </w:p>
    <w:p>
      <w:pPr>
        <w:spacing w:after="0"/>
        <w:ind w:left="0"/>
        <w:jc w:val="both"/>
      </w:pPr>
      <w:r>
        <w:rPr>
          <w:rFonts w:ascii="Times New Roman"/>
          <w:b w:val="false"/>
          <w:i w:val="false"/>
          <w:color w:val="000000"/>
          <w:sz w:val="28"/>
        </w:rPr>
        <w:t>
      3) управление рисками, которым подвержен инвестиционный портфель, с обеспечением возможности отслеживать риски в режиме реального времени.</w:t>
      </w:r>
    </w:p>
    <w:bookmarkStart w:name="z154" w:id="226"/>
    <w:p>
      <w:pPr>
        <w:spacing w:after="0"/>
        <w:ind w:left="0"/>
        <w:jc w:val="both"/>
      </w:pPr>
      <w:r>
        <w:rPr>
          <w:rFonts w:ascii="Times New Roman"/>
          <w:b w:val="false"/>
          <w:i w:val="false"/>
          <w:color w:val="000000"/>
          <w:sz w:val="28"/>
        </w:rPr>
        <w:t>
      104. Подразделение информационного обеспечения брокера и (или) дилера, Управляющего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p>
    <w:bookmarkEnd w:id="226"/>
    <w:p>
      <w:pPr>
        <w:spacing w:after="0"/>
        <w:ind w:left="0"/>
        <w:jc w:val="both"/>
      </w:pPr>
      <w:r>
        <w:rPr>
          <w:rFonts w:ascii="Times New Roman"/>
          <w:b w:val="false"/>
          <w:i w:val="false"/>
          <w:color w:val="000000"/>
          <w:sz w:val="28"/>
        </w:rPr>
        <w:t>
      1) заполнение листов учета технических проблем и ведения по ним отчетности;</w:t>
      </w:r>
    </w:p>
    <w:p>
      <w:pPr>
        <w:spacing w:after="0"/>
        <w:ind w:left="0"/>
        <w:jc w:val="both"/>
      </w:pP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p>
    <w:p>
      <w:pPr>
        <w:spacing w:after="0"/>
        <w:ind w:left="0"/>
        <w:jc w:val="both"/>
      </w:pP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p>
    <w:p>
      <w:pPr>
        <w:spacing w:after="0"/>
        <w:ind w:left="0"/>
        <w:jc w:val="both"/>
      </w:pP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для 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w:t>
            </w:r>
            <w:r>
              <w:br/>
            </w:r>
            <w:r>
              <w:rPr>
                <w:rFonts w:ascii="Times New Roman"/>
                <w:b w:val="false"/>
                <w:i w:val="false"/>
                <w:color w:val="000000"/>
                <w:sz w:val="20"/>
              </w:rPr>
              <w:t>управлению 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227"/>
    <w:p>
      <w:pPr>
        <w:spacing w:after="0"/>
        <w:ind w:left="0"/>
        <w:jc w:val="left"/>
      </w:pPr>
      <w:r>
        <w:rPr>
          <w:rFonts w:ascii="Times New Roman"/>
          <w:b/>
          <w:i w:val="false"/>
          <w:color w:val="000000"/>
        </w:rPr>
        <w:t xml:space="preserve"> "Отчет об оценке выполнения требований к системам управления рисками"</w:t>
      </w:r>
    </w:p>
    <w:bookmarkEnd w:id="22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(наименование брокера и (или) дилера, Управляющего)</w:t>
      </w:r>
    </w:p>
    <w:p>
      <w:pPr>
        <w:spacing w:after="0"/>
        <w:ind w:left="0"/>
        <w:jc w:val="left"/>
      </w:pPr>
      <w:r>
        <w:rPr>
          <w:rFonts w:ascii="Times New Roman"/>
          <w:b/>
          <w:i w:val="false"/>
          <w:color w:val="000000"/>
        </w:rPr>
        <w:t xml:space="preserve"> Отчетный период: за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части,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Оценка соответствия требованиям к системам управления рисками:</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Руководитель подразделения по управлению рисками</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об оценке</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p>
        </w:tc>
      </w:tr>
    </w:tbl>
    <w:bookmarkStart w:name="z440" w:id="228"/>
    <w:p>
      <w:pPr>
        <w:spacing w:after="0"/>
        <w:ind w:left="0"/>
        <w:jc w:val="left"/>
      </w:pPr>
      <w:r>
        <w:rPr>
          <w:rFonts w:ascii="Times New Roman"/>
          <w:b/>
          <w:i w:val="false"/>
          <w:color w:val="000000"/>
        </w:rPr>
        <w:t xml:space="preserve"> Пояснение по заполнению формы "Отчет об оценке выполнения требований к системам управления рисками"</w:t>
      </w:r>
    </w:p>
    <w:bookmarkEnd w:id="228"/>
    <w:p>
      <w:pPr>
        <w:spacing w:after="0"/>
        <w:ind w:left="0"/>
        <w:jc w:val="both"/>
      </w:pPr>
      <w:r>
        <w:rPr>
          <w:rFonts w:ascii="Times New Roman"/>
          <w:b w:val="false"/>
          <w:i w:val="false"/>
          <w:color w:val="000000"/>
          <w:sz w:val="28"/>
        </w:rPr>
        <w:t>
      Оценка выполнения требований к системам управления рисками осуществляется по трехбалльной системе исходя из следующих критериев:</w:t>
      </w:r>
    </w:p>
    <w:p>
      <w:pPr>
        <w:spacing w:after="0"/>
        <w:ind w:left="0"/>
        <w:jc w:val="both"/>
      </w:pPr>
      <w:r>
        <w:rPr>
          <w:rFonts w:ascii="Times New Roman"/>
          <w:b w:val="false"/>
          <w:i w:val="false"/>
          <w:color w:val="000000"/>
          <w:sz w:val="28"/>
        </w:rPr>
        <w:t>
      1) оценка "соответствует" выносится при выполнении брокером и (или) дилером, Управляющим критерия требования к системам управления рисками без каких-либо значительных недостатков;</w:t>
      </w:r>
    </w:p>
    <w:p>
      <w:pPr>
        <w:spacing w:after="0"/>
        <w:ind w:left="0"/>
        <w:jc w:val="both"/>
      </w:pP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брокера и (или) дилера, Управляющего в достижении соблюдения конкретного критерия требования к системам управления рисками;</w:t>
      </w:r>
    </w:p>
    <w:p>
      <w:pPr>
        <w:spacing w:after="0"/>
        <w:ind w:left="0"/>
        <w:jc w:val="both"/>
      </w:pPr>
      <w:r>
        <w:rPr>
          <w:rFonts w:ascii="Times New Roman"/>
          <w:b w:val="false"/>
          <w:i w:val="false"/>
          <w:color w:val="000000"/>
          <w:sz w:val="28"/>
        </w:rPr>
        <w:t>
      3) оценка "не соответствует" выносится при невыполнении брокером и (или) дилером, Управляющим критерия требований к системам управления рисками.</w:t>
      </w:r>
    </w:p>
    <w:p>
      <w:pPr>
        <w:spacing w:after="0"/>
        <w:ind w:left="0"/>
        <w:jc w:val="both"/>
      </w:pPr>
      <w:r>
        <w:rPr>
          <w:rFonts w:ascii="Times New Roman"/>
          <w:b w:val="false"/>
          <w:i w:val="false"/>
          <w:color w:val="000000"/>
          <w:sz w:val="28"/>
        </w:rPr>
        <w:t>
      В случае если отдельные требования к системам управления рисками не могут быть применены в отношении брокера и (или) дилера, Управляющего, оценка соответствия данному критерию требования не осуществляется и отмечается соответствующей записью "не применимо".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w:t>
            </w:r>
            <w:r>
              <w:br/>
            </w:r>
            <w:r>
              <w:rPr>
                <w:rFonts w:ascii="Times New Roman"/>
                <w:b w:val="false"/>
                <w:i w:val="false"/>
                <w:color w:val="000000"/>
                <w:sz w:val="20"/>
              </w:rPr>
              <w:t>управлению инвестиционным</w:t>
            </w:r>
            <w:r>
              <w:br/>
            </w:r>
            <w:r>
              <w:rPr>
                <w:rFonts w:ascii="Times New Roman"/>
                <w:b w:val="false"/>
                <w:i w:val="false"/>
                <w:color w:val="000000"/>
                <w:sz w:val="20"/>
              </w:rPr>
              <w:t>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76" w:id="229"/>
    <w:p>
      <w:pPr>
        <w:spacing w:after="0"/>
        <w:ind w:left="0"/>
        <w:jc w:val="left"/>
      </w:pPr>
      <w:r>
        <w:rPr>
          <w:rFonts w:ascii="Times New Roman"/>
          <w:b/>
          <w:i w:val="false"/>
          <w:color w:val="000000"/>
        </w:rPr>
        <w:t xml:space="preserve"> Стресс-тестинг по ценовому риску</w:t>
      </w:r>
    </w:p>
    <w:bookmarkEnd w:id="229"/>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системы управления</w:t>
            </w:r>
            <w:r>
              <w:br/>
            </w:r>
            <w:r>
              <w:rPr>
                <w:rFonts w:ascii="Times New Roman"/>
                <w:b w:val="false"/>
                <w:i w:val="false"/>
                <w:color w:val="000000"/>
                <w:sz w:val="20"/>
              </w:rPr>
              <w:t xml:space="preserve">рисками и внутреннего контроля для организаций, </w:t>
            </w:r>
            <w:r>
              <w:br/>
            </w:r>
            <w:r>
              <w:rPr>
                <w:rFonts w:ascii="Times New Roman"/>
                <w:b w:val="false"/>
                <w:i w:val="false"/>
                <w:color w:val="000000"/>
                <w:sz w:val="20"/>
              </w:rPr>
              <w:t>осуществляющих брокерскую и дилерскую деятельность</w:t>
            </w:r>
            <w:r>
              <w:br/>
            </w:r>
            <w:r>
              <w:rPr>
                <w:rFonts w:ascii="Times New Roman"/>
                <w:b w:val="false"/>
                <w:i w:val="false"/>
                <w:color w:val="000000"/>
                <w:sz w:val="20"/>
              </w:rPr>
              <w:t>на рынке ценных бумаг, деятельность по</w:t>
            </w:r>
            <w:r>
              <w:br/>
            </w:r>
            <w:r>
              <w:rPr>
                <w:rFonts w:ascii="Times New Roman"/>
                <w:b w:val="false"/>
                <w:i w:val="false"/>
                <w:color w:val="000000"/>
                <w:sz w:val="20"/>
              </w:rPr>
              <w:t>управлению инвестиционным портфелем</w:t>
            </w:r>
          </w:p>
        </w:tc>
      </w:tr>
    </w:tbl>
    <w:bookmarkStart w:name="z167" w:id="230"/>
    <w:p>
      <w:pPr>
        <w:spacing w:after="0"/>
        <w:ind w:left="0"/>
        <w:jc w:val="left"/>
      </w:pPr>
      <w:r>
        <w:rPr>
          <w:rFonts w:ascii="Times New Roman"/>
          <w:b/>
          <w:i w:val="false"/>
          <w:color w:val="000000"/>
        </w:rPr>
        <w:t xml:space="preserve"> Отчет о соблюдении (использовании)</w:t>
      </w:r>
      <w:r>
        <w:br/>
      </w:r>
      <w:r>
        <w:rPr>
          <w:rFonts w:ascii="Times New Roman"/>
          <w:b/>
          <w:i w:val="false"/>
          <w:color w:val="000000"/>
        </w:rPr>
        <w:t>установленных лимитов инвестирования</w:t>
      </w:r>
    </w:p>
    <w:bookmarkEnd w:id="230"/>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 системы управления</w:t>
            </w:r>
            <w:r>
              <w:br/>
            </w:r>
            <w:r>
              <w:rPr>
                <w:rFonts w:ascii="Times New Roman"/>
                <w:b w:val="false"/>
                <w:i w:val="false"/>
                <w:color w:val="000000"/>
                <w:sz w:val="20"/>
              </w:rPr>
              <w:t xml:space="preserve">рисками и внутреннего контроля для организаций, </w:t>
            </w:r>
            <w:r>
              <w:br/>
            </w:r>
            <w:r>
              <w:rPr>
                <w:rFonts w:ascii="Times New Roman"/>
                <w:b w:val="false"/>
                <w:i w:val="false"/>
                <w:color w:val="000000"/>
                <w:sz w:val="20"/>
              </w:rPr>
              <w:t>осуществляющих брокерскую и дилерскую деятельность</w:t>
            </w:r>
            <w:r>
              <w:br/>
            </w:r>
            <w:r>
              <w:rPr>
                <w:rFonts w:ascii="Times New Roman"/>
                <w:b w:val="false"/>
                <w:i w:val="false"/>
                <w:color w:val="000000"/>
                <w:sz w:val="20"/>
              </w:rPr>
              <w:t>на рынке ценных бумаг, деятельность по</w:t>
            </w:r>
            <w:r>
              <w:br/>
            </w:r>
            <w:r>
              <w:rPr>
                <w:rFonts w:ascii="Times New Roman"/>
                <w:b w:val="false"/>
                <w:i w:val="false"/>
                <w:color w:val="000000"/>
                <w:sz w:val="20"/>
              </w:rPr>
              <w:t>управлению инвестиционным портфелем</w:t>
            </w:r>
          </w:p>
        </w:tc>
      </w:tr>
    </w:tbl>
    <w:bookmarkStart w:name="z169" w:id="231"/>
    <w:p>
      <w:pPr>
        <w:spacing w:after="0"/>
        <w:ind w:left="0"/>
        <w:jc w:val="left"/>
      </w:pPr>
      <w:r>
        <w:rPr>
          <w:rFonts w:ascii="Times New Roman"/>
          <w:b/>
          <w:i w:val="false"/>
          <w:color w:val="000000"/>
        </w:rPr>
        <w:t xml:space="preserve"> Отчет о соблюдении (использовании)</w:t>
      </w:r>
      <w:r>
        <w:br/>
      </w:r>
      <w:r>
        <w:rPr>
          <w:rFonts w:ascii="Times New Roman"/>
          <w:b/>
          <w:i w:val="false"/>
          <w:color w:val="000000"/>
        </w:rPr>
        <w:t>установленных лимитов "stop-loss" и "take-profit"</w:t>
      </w:r>
    </w:p>
    <w:bookmarkEnd w:id="231"/>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 управлению</w:t>
            </w:r>
            <w:r>
              <w:br/>
            </w:r>
            <w:r>
              <w:rPr>
                <w:rFonts w:ascii="Times New Roman"/>
                <w:b w:val="false"/>
                <w:i w:val="false"/>
                <w:color w:val="000000"/>
                <w:sz w:val="20"/>
              </w:rPr>
              <w:t>инвестиционным портфелем</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24.09.2021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Расшифровка максимального</w:t>
            </w:r>
            <w:r>
              <w:br/>
            </w:r>
            <w:r>
              <w:rPr>
                <w:rFonts w:ascii="Times New Roman"/>
                <w:b w:val="false"/>
                <w:i w:val="false"/>
                <w:color w:val="000000"/>
                <w:sz w:val="20"/>
              </w:rPr>
              <w:t>риска на одного клиента</w:t>
            </w:r>
            <w:r>
              <w:br/>
            </w:r>
            <w:r>
              <w:rPr>
                <w:rFonts w:ascii="Times New Roman"/>
                <w:b w:val="false"/>
                <w:i w:val="false"/>
                <w:color w:val="000000"/>
                <w:sz w:val="20"/>
              </w:rPr>
              <w:t>(в разрезе клиентов)</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брокера и (или)</w:t>
            </w:r>
            <w:r>
              <w:br/>
            </w:r>
            <w:r>
              <w:rPr>
                <w:rFonts w:ascii="Times New Roman"/>
                <w:b w:val="false"/>
                <w:i w:val="false"/>
                <w:color w:val="000000"/>
                <w:sz w:val="20"/>
              </w:rPr>
              <w:t>дилера или Управляющего,</w:t>
            </w:r>
            <w:r>
              <w:br/>
            </w:r>
            <w:r>
              <w:rPr>
                <w:rFonts w:ascii="Times New Roman"/>
                <w:b w:val="false"/>
                <w:i w:val="false"/>
                <w:color w:val="000000"/>
                <w:sz w:val="20"/>
              </w:rPr>
              <w:t>являющегося брокером</w:t>
            </w:r>
            <w:r>
              <w:br/>
            </w:r>
            <w:r>
              <w:rPr>
                <w:rFonts w:ascii="Times New Roman"/>
                <w:b w:val="false"/>
                <w:i w:val="false"/>
                <w:color w:val="000000"/>
                <w:sz w:val="20"/>
              </w:rPr>
              <w:t>и (или) дилером)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открытого в системе учета центрального депозитария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надежности (платежеспособности)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объема поданных клиентами заявок, в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 рассчитанных сделок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денег, находящихся на банковском счете брокера и (или) дилера (кастодиана) или Управляющего, являющегося брокером и (или) дилером, без учета денег, являющихся обеспечением по заключенным маржинальным сделкам,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продажу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5"/>
          <w:p>
            <w:pPr>
              <w:spacing w:after="20"/>
              <w:ind w:left="20"/>
              <w:jc w:val="both"/>
            </w:pPr>
            <w:r>
              <w:rPr>
                <w:rFonts w:ascii="Times New Roman"/>
                <w:b w:val="false"/>
                <w:i w:val="false"/>
                <w:color w:val="000000"/>
                <w:sz w:val="20"/>
              </w:rPr>
              <w:t>
</w:t>
            </w:r>
            <w:r>
              <w:rPr>
                <w:rFonts w:ascii="Times New Roman"/>
                <w:b w:val="false"/>
                <w:i w:val="false"/>
                <w:color w:val="000000"/>
                <w:sz w:val="20"/>
              </w:rPr>
              <w:t>Объем ценных бумаг клиента, находящихся на лицевых счетах (субсчетах) в системе учета номинального держания, без учета ценных бумаг, являющихся обеспечением по заключенным маржинальным сделкам, в штуках</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размера рисков к размеру собственного капитала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237"/>
    <w:p>
      <w:pPr>
        <w:spacing w:after="0"/>
        <w:ind w:left="0"/>
        <w:jc w:val="both"/>
      </w:pPr>
      <w:r>
        <w:rPr>
          <w:rFonts w:ascii="Times New Roman"/>
          <w:b w:val="false"/>
          <w:i w:val="false"/>
          <w:color w:val="000000"/>
          <w:sz w:val="28"/>
        </w:rPr>
        <w:t>
      Примечание:</w:t>
      </w:r>
    </w:p>
    <w:bookmarkEnd w:id="237"/>
    <w:bookmarkStart w:name="z573" w:id="238"/>
    <w:p>
      <w:pPr>
        <w:spacing w:after="0"/>
        <w:ind w:left="0"/>
        <w:jc w:val="both"/>
      </w:pPr>
      <w:r>
        <w:rPr>
          <w:rFonts w:ascii="Times New Roman"/>
          <w:b w:val="false"/>
          <w:i w:val="false"/>
          <w:color w:val="000000"/>
          <w:sz w:val="28"/>
        </w:rPr>
        <w:t>
      В графе 2 указывается наименование клиента, брокера и (или) дилера или Управляющего, являющегося брокером и (или) дилером, заключившего с ним договор на брокерское обслуживание. Для клиента, являющегося:</w:t>
      </w:r>
    </w:p>
    <w:bookmarkEnd w:id="238"/>
    <w:bookmarkStart w:name="z574" w:id="239"/>
    <w:p>
      <w:pPr>
        <w:spacing w:after="0"/>
        <w:ind w:left="0"/>
        <w:jc w:val="both"/>
      </w:pPr>
      <w:r>
        <w:rPr>
          <w:rFonts w:ascii="Times New Roman"/>
          <w:b w:val="false"/>
          <w:i w:val="false"/>
          <w:color w:val="000000"/>
          <w:sz w:val="28"/>
        </w:rPr>
        <w:t>
      1) юридическим лицом, указывается полное наименование юридического лица;</w:t>
      </w:r>
    </w:p>
    <w:bookmarkEnd w:id="239"/>
    <w:bookmarkStart w:name="z575" w:id="240"/>
    <w:p>
      <w:pPr>
        <w:spacing w:after="0"/>
        <w:ind w:left="0"/>
        <w:jc w:val="both"/>
      </w:pPr>
      <w:r>
        <w:rPr>
          <w:rFonts w:ascii="Times New Roman"/>
          <w:b w:val="false"/>
          <w:i w:val="false"/>
          <w:color w:val="000000"/>
          <w:sz w:val="28"/>
        </w:rPr>
        <w:t>
      2) физическим лицом, полностью указываются фамилия, имя и отчество (при наличии).</w:t>
      </w:r>
    </w:p>
    <w:bookmarkEnd w:id="240"/>
    <w:bookmarkStart w:name="z576" w:id="241"/>
    <w:p>
      <w:pPr>
        <w:spacing w:after="0"/>
        <w:ind w:left="0"/>
        <w:jc w:val="both"/>
      </w:pPr>
      <w:r>
        <w:rPr>
          <w:rFonts w:ascii="Times New Roman"/>
          <w:b w:val="false"/>
          <w:i w:val="false"/>
          <w:color w:val="000000"/>
          <w:sz w:val="28"/>
        </w:rPr>
        <w:t>
      В графе 3 указывается 10-значный номер субсчета клиента открытого в системе учета номинального держания центрального депозитария.</w:t>
      </w:r>
    </w:p>
    <w:bookmarkEnd w:id="241"/>
    <w:bookmarkStart w:name="z577" w:id="242"/>
    <w:p>
      <w:pPr>
        <w:spacing w:after="0"/>
        <w:ind w:left="0"/>
        <w:jc w:val="both"/>
      </w:pPr>
      <w:r>
        <w:rPr>
          <w:rFonts w:ascii="Times New Roman"/>
          <w:b w:val="false"/>
          <w:i w:val="false"/>
          <w:color w:val="000000"/>
          <w:sz w:val="28"/>
        </w:rPr>
        <w:t>
      В графе 4 указывается категория, характеризующая степень надежности (платежеспособности) клиента.</w:t>
      </w:r>
    </w:p>
    <w:bookmarkEnd w:id="242"/>
    <w:bookmarkStart w:name="z578" w:id="243"/>
    <w:p>
      <w:pPr>
        <w:spacing w:after="0"/>
        <w:ind w:left="0"/>
        <w:jc w:val="both"/>
      </w:pPr>
      <w:r>
        <w:rPr>
          <w:rFonts w:ascii="Times New Roman"/>
          <w:b w:val="false"/>
          <w:i w:val="false"/>
          <w:color w:val="000000"/>
          <w:sz w:val="28"/>
        </w:rPr>
        <w:t>
      В графе 5 и 6 указывается объем поданных клиентом активных заявок на покупку и продажу ценных бумаг на организованном и международном (иностранном) рынках ценных бумаг.</w:t>
      </w:r>
    </w:p>
    <w:bookmarkEnd w:id="243"/>
    <w:bookmarkStart w:name="z579" w:id="244"/>
    <w:p>
      <w:pPr>
        <w:spacing w:after="0"/>
        <w:ind w:left="0"/>
        <w:jc w:val="both"/>
      </w:pPr>
      <w:r>
        <w:rPr>
          <w:rFonts w:ascii="Times New Roman"/>
          <w:b w:val="false"/>
          <w:i w:val="false"/>
          <w:color w:val="000000"/>
          <w:sz w:val="28"/>
        </w:rPr>
        <w:t>
      В графе 7 указывается объем заключенных, но не рассчитанных сделок с ценными бумагами на международном (иностранном) рынках ценных бумаг.</w:t>
      </w:r>
    </w:p>
    <w:bookmarkEnd w:id="244"/>
    <w:bookmarkStart w:name="z580" w:id="245"/>
    <w:p>
      <w:pPr>
        <w:spacing w:after="0"/>
        <w:ind w:left="0"/>
        <w:jc w:val="both"/>
      </w:pPr>
      <w:r>
        <w:rPr>
          <w:rFonts w:ascii="Times New Roman"/>
          <w:b w:val="false"/>
          <w:i w:val="false"/>
          <w:color w:val="000000"/>
          <w:sz w:val="28"/>
        </w:rPr>
        <w:t>
      В графе 8 указывается объем денег клиентов брокера и (или) дилера или Управляющего, находящихся на банковском счете брокера и (или) дилера и (или) кастодиана, от имени которых были поданы заявки на покупку ценных бумаг, указанные в графе 5, либо заключены сделки по покупке ценных бумаг, указанные в графе 7, без учета денег, являющихся обеспечением по заключенным маржинальным сделкам.</w:t>
      </w:r>
    </w:p>
    <w:bookmarkEnd w:id="245"/>
    <w:bookmarkStart w:name="z581" w:id="246"/>
    <w:p>
      <w:pPr>
        <w:spacing w:after="0"/>
        <w:ind w:left="0"/>
        <w:jc w:val="both"/>
      </w:pPr>
      <w:r>
        <w:rPr>
          <w:rFonts w:ascii="Times New Roman"/>
          <w:b w:val="false"/>
          <w:i w:val="false"/>
          <w:color w:val="000000"/>
          <w:sz w:val="28"/>
        </w:rPr>
        <w:t>
      В графе 9 указывается количество ценных бумаг, являющихся предметом заявки, указанной в графе 6, либо сделки по продаже ценных бумаг, указанные в графе 7, находящиеся в системе учета номинального держания брокера и (или) дилера и (или) кастодиана, без учета ценных бумаг, являющихся обеспечением по заключенным маржинальным сделкам.</w:t>
      </w:r>
    </w:p>
    <w:bookmarkEnd w:id="246"/>
    <w:bookmarkStart w:name="z582" w:id="247"/>
    <w:p>
      <w:pPr>
        <w:spacing w:after="0"/>
        <w:ind w:left="0"/>
        <w:jc w:val="both"/>
      </w:pPr>
      <w:r>
        <w:rPr>
          <w:rFonts w:ascii="Times New Roman"/>
          <w:b w:val="false"/>
          <w:i w:val="false"/>
          <w:color w:val="000000"/>
          <w:sz w:val="28"/>
        </w:rPr>
        <w:t>
      В графе 10 указывается размер риска, рассчитываемый как сумма значений, указанных в графах 5, 6 и 7, за минусом значений, указанных в графах 8 (вычитание производится только в случае подачи заявки на покупку ценных бумаг, либо заключению сделки по покупке ценных бумаг, в размере, не превышающем сумму значений, указанных в графах 5 и 7) и 9 (вычитание производится только в случае подачи заявки на продажу ценных бумаг, либо заключению сделки по продаже ценных, в размере, не превышающем сумму значений, указанных в графах 6 и 7).</w:t>
      </w:r>
    </w:p>
    <w:bookmarkEnd w:id="247"/>
    <w:bookmarkStart w:name="z583" w:id="248"/>
    <w:p>
      <w:pPr>
        <w:spacing w:after="0"/>
        <w:ind w:left="0"/>
        <w:jc w:val="both"/>
      </w:pPr>
      <w:r>
        <w:rPr>
          <w:rFonts w:ascii="Times New Roman"/>
          <w:b w:val="false"/>
          <w:i w:val="false"/>
          <w:color w:val="000000"/>
          <w:sz w:val="28"/>
        </w:rPr>
        <w:t>
      Для расчетов графы 10, графа 9 (в случаях, когда значение в графе 9, меньше чем сумма значений, указанных в графах 6 и 7) рассматривается в денежном эквиваленте, а именно объем ценных бумаг клиента учитывается по средневзвешенной цене заявок указанных в графе 6, и сделок по продаже ценных бумаг, указанных в графе 7.</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214</w:t>
            </w:r>
          </w:p>
        </w:tc>
      </w:tr>
    </w:tbl>
    <w:bookmarkStart w:name="z6" w:id="249"/>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утративших силу</w:t>
      </w:r>
    </w:p>
    <w:bookmarkEnd w:id="249"/>
    <w:bookmarkStart w:name="z7" w:id="2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209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(зарегистрированное в Реестре государственной регистрации нормативных правовых актов под № 5844).</w:t>
      </w:r>
    </w:p>
    <w:bookmarkEnd w:id="250"/>
    <w:bookmarkStart w:name="z8" w:id="2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4 октября 2010 года № 150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6632). </w:t>
      </w:r>
    </w:p>
    <w:bookmarkEnd w:id="251"/>
    <w:bookmarkStart w:name="z9"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278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сентября 2009 года № 209 "Об утверждении Инструкции о требованиях по наличию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(зарегистрированное в Реестре государственной регистрации нормативных правовых актов под № 8007, опубликованное в "Казахстанская правда" от 20 декабря 2012 г. № 440-441 (27259-27260); от 22 декабря 2012 г. № 444-445 (27263-27264)). </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