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832d" w14:textId="a878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раздельного учета доходов, затрат и задействованных активов субъектами естественной монополии, оказывающими услуги водоснабжения и (или) водоотведения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26 июля 2013 года N 232-ОД. Зарегистрирован в Министерстве юстиции Республики Казахстан 10 сентября 2013 года N 8693.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В заголовок внесено изменение на казахском языке, текст на русском не меняется приказом Министра национальной экономики РК от 16.02.2018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14 Закона Республики Казахстан от 9 июля 1998 года "О естественных монополиях"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национальной экономики РК от 16.02.2018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 Правила</w:t>
      </w:r>
      <w:r>
        <w:rPr>
          <w:rFonts w:ascii="Times New Roman"/>
          <w:b w:val="false"/>
          <w:i w:val="false"/>
          <w:color w:val="000000"/>
          <w:sz w:val="28"/>
        </w:rPr>
        <w:t xml:space="preserve"> ведения раздельного учета доходов, затрат и задействованных активов субъектами естественной монополии, оказывающими услуги водоснабжения и (или) водоотведения.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не меняется приказом Министра национальной экономики РК от 16.02.2018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 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28 декабря 2004 года № 506-ОД "Об утверждении Правил ведения раздельного учета доходов, затрат и задействованных активов субъектами естественной монополии, оказывающими услуги по транспортировке воды" (зарегистрированный в Реестре государственной регистрации нормативных правовых актов за № 3383);</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 пункт 9</w:t>
      </w:r>
      <w:r>
        <w:rPr>
          <w:rFonts w:ascii="Times New Roman"/>
          <w:b w:val="false"/>
          <w:i w:val="false"/>
          <w:color w:val="000000"/>
          <w:sz w:val="28"/>
        </w:rPr>
        <w:t xml:space="preserve"> Перечня изменений и дополнений, которые вносятся в некоторые приказы уполномоченного органа, осуществляющего руководство в сферах естественных монополий и на регулируемых рынках, утвержденного приказом Председателя Агентства Республики Казахстан по регулированию естественных монополий от 5 февраля 2009 года № 30-ОД "О внесении изменений и дополнений в некоторые приказы уполномоченного органа, осуществляющего руководство в сферах естественных монополий и на регулируемых рынках", (зарегистрированный в Реестре государственной регистрации нормативных правовых актов за № 5557).</w:t>
      </w:r>
    </w:p>
    <w:bookmarkEnd w:id="4"/>
    <w:bookmarkStart w:name="z6" w:id="5"/>
    <w:p>
      <w:pPr>
        <w:spacing w:after="0"/>
        <w:ind w:left="0"/>
        <w:jc w:val="both"/>
      </w:pPr>
      <w:r>
        <w:rPr>
          <w:rFonts w:ascii="Times New Roman"/>
          <w:b w:val="false"/>
          <w:i w:val="false"/>
          <w:color w:val="000000"/>
          <w:sz w:val="28"/>
        </w:rPr>
        <w:t>
      3. Департаменту по регулированию в сфере трубопроводных и водоканализационных систем Агентства Республики Казахстан по регулированию естественных монополий (Аскарова А.Г.) обеспечить:</w:t>
      </w:r>
    </w:p>
    <w:bookmarkEnd w:id="5"/>
    <w:bookmarkStart w:name="z77" w:id="6"/>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6"/>
    <w:bookmarkStart w:name="z78" w:id="7"/>
    <w:p>
      <w:pPr>
        <w:spacing w:after="0"/>
        <w:ind w:left="0"/>
        <w:jc w:val="both"/>
      </w:pPr>
      <w:r>
        <w:rPr>
          <w:rFonts w:ascii="Times New Roman"/>
          <w:b w:val="false"/>
          <w:i w:val="false"/>
          <w:color w:val="000000"/>
          <w:sz w:val="28"/>
        </w:rPr>
        <w:t>
      2) опубликование настоящего приказа на интернет-ресурсе Агентства Республики Казахстан по регулированию естественных монополий, после официального опубликования в средствах массовой информации.</w:t>
      </w:r>
    </w:p>
    <w:bookmarkEnd w:id="7"/>
    <w:bookmarkStart w:name="z7" w:id="8"/>
    <w:p>
      <w:pPr>
        <w:spacing w:after="0"/>
        <w:ind w:left="0"/>
        <w:jc w:val="both"/>
      </w:pPr>
      <w:r>
        <w:rPr>
          <w:rFonts w:ascii="Times New Roman"/>
          <w:b w:val="false"/>
          <w:i w:val="false"/>
          <w:color w:val="000000"/>
          <w:sz w:val="28"/>
        </w:rPr>
        <w:t>
      4. Департаменту административной работы Агентства Республики Казахстан по регулированию естественных монополий (Базарбаев С.П.) после государственной регистрации настоящего приказа в Министерстве юстиции Республики Казахстан:</w:t>
      </w:r>
    </w:p>
    <w:bookmarkEnd w:id="8"/>
    <w:bookmarkStart w:name="z79" w:id="9"/>
    <w:p>
      <w:pPr>
        <w:spacing w:after="0"/>
        <w:ind w:left="0"/>
        <w:jc w:val="both"/>
      </w:pPr>
      <w:r>
        <w:rPr>
          <w:rFonts w:ascii="Times New Roman"/>
          <w:b w:val="false"/>
          <w:i w:val="false"/>
          <w:color w:val="000000"/>
          <w:sz w:val="28"/>
        </w:rPr>
        <w:t>
      1) обеспечить в установленном законодательством порядке его официальное опубликование в средствах массовой информации с последующим предоставлением в Юридический департамент Агентства Республики Казахстан по регулированию естественных монополий (Метенова С.С.) сведений об опубликовании;</w:t>
      </w:r>
    </w:p>
    <w:bookmarkEnd w:id="9"/>
    <w:bookmarkStart w:name="z80" w:id="10"/>
    <w:p>
      <w:pPr>
        <w:spacing w:after="0"/>
        <w:ind w:left="0"/>
        <w:jc w:val="both"/>
      </w:pPr>
      <w:r>
        <w:rPr>
          <w:rFonts w:ascii="Times New Roman"/>
          <w:b w:val="false"/>
          <w:i w:val="false"/>
          <w:color w:val="000000"/>
          <w:sz w:val="28"/>
        </w:rPr>
        <w:t>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w:t>
      </w:r>
    </w:p>
    <w:bookmarkEnd w:id="10"/>
    <w:bookmarkStart w:name="z8" w:id="11"/>
    <w:p>
      <w:pPr>
        <w:spacing w:after="0"/>
        <w:ind w:left="0"/>
        <w:jc w:val="both"/>
      </w:pPr>
      <w:r>
        <w:rPr>
          <w:rFonts w:ascii="Times New Roman"/>
          <w:b w:val="false"/>
          <w:i w:val="false"/>
          <w:color w:val="000000"/>
          <w:sz w:val="28"/>
        </w:rPr>
        <w:t>
      5. Контроль за исполнением настоящего приказа возложить на заместителя Председателя Агентства по регулированию естественных монополий Алпысбаева А.А.</w:t>
      </w:r>
    </w:p>
    <w:bookmarkEnd w:id="11"/>
    <w:bookmarkStart w:name="z9" w:id="12"/>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11477"/>
        <w:gridCol w:w="823"/>
      </w:tblGrid>
      <w:tr>
        <w:trPr>
          <w:trHeight w:val="30" w:hRule="atLeast"/>
        </w:trPr>
        <w:tc>
          <w:tcPr>
            <w:tcW w:w="1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w:t>
            </w:r>
          </w:p>
        </w:tc>
      </w:tr>
      <w:tr>
        <w:trPr>
          <w:trHeight w:val="30" w:hRule="atLeast"/>
        </w:trPr>
        <w:tc>
          <w:tcPr>
            <w:tcW w:w="1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Председателя Агентства Республики </w:t>
            </w:r>
          </w:p>
        </w:tc>
        <w:tc>
          <w:tcPr>
            <w:tcW w:w="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по статистике</w:t>
            </w:r>
          </w:p>
        </w:tc>
        <w:tc>
          <w:tcPr>
            <w:tcW w:w="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_______________Ж. Джаркинбаев</w:t>
            </w:r>
          </w:p>
        </w:tc>
        <w:tc>
          <w:tcPr>
            <w:tcW w:w="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июля 2013 год</w:t>
            </w:r>
          </w:p>
        </w:tc>
        <w:tc>
          <w:tcPr>
            <w:tcW w:w="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экономики и</w:t>
            </w:r>
          </w:p>
        </w:tc>
        <w:tc>
          <w:tcPr>
            <w:tcW w:w="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бюджетного планирования </w:t>
            </w:r>
          </w:p>
        </w:tc>
        <w:tc>
          <w:tcPr>
            <w:tcW w:w="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_______________М. Кусаинов</w:t>
            </w:r>
          </w:p>
        </w:tc>
        <w:tc>
          <w:tcPr>
            <w:tcW w:w="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"_____"____________2013 год</w:t>
            </w:r>
          </w:p>
        </w:tc>
        <w:tc>
          <w:tcPr>
            <w:tcW w:w="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 Агентства</w:t>
            </w:r>
            <w:r>
              <w:br/>
            </w:r>
            <w:r>
              <w:rPr>
                <w:rFonts w:ascii="Times New Roman"/>
                <w:b w:val="false"/>
                <w:i w:val="false"/>
                <w:color w:val="000000"/>
                <w:sz w:val="20"/>
              </w:rPr>
              <w:t>Республики Казахстан по регулированию</w:t>
            </w:r>
            <w:r>
              <w:br/>
            </w:r>
            <w:r>
              <w:rPr>
                <w:rFonts w:ascii="Times New Roman"/>
                <w:b w:val="false"/>
                <w:i w:val="false"/>
                <w:color w:val="000000"/>
                <w:sz w:val="20"/>
              </w:rPr>
              <w:t>естественных монополий</w:t>
            </w:r>
            <w:r>
              <w:br/>
            </w:r>
            <w:r>
              <w:rPr>
                <w:rFonts w:ascii="Times New Roman"/>
                <w:b w:val="false"/>
                <w:i w:val="false"/>
                <w:color w:val="000000"/>
                <w:sz w:val="20"/>
              </w:rPr>
              <w:t>от 26 июля 2013 года № 232-ОД</w:t>
            </w:r>
          </w:p>
        </w:tc>
      </w:tr>
    </w:tbl>
    <w:bookmarkStart w:name="z11" w:id="13"/>
    <w:p>
      <w:pPr>
        <w:spacing w:after="0"/>
        <w:ind w:left="0"/>
        <w:jc w:val="left"/>
      </w:pPr>
      <w:r>
        <w:rPr>
          <w:rFonts w:ascii="Times New Roman"/>
          <w:b/>
          <w:i w:val="false"/>
          <w:color w:val="000000"/>
        </w:rPr>
        <w:t xml:space="preserve"> Правила</w:t>
      </w:r>
      <w:r>
        <w:br/>
      </w:r>
      <w:r>
        <w:rPr>
          <w:rFonts w:ascii="Times New Roman"/>
          <w:b/>
          <w:i w:val="false"/>
          <w:color w:val="000000"/>
        </w:rPr>
        <w:t>ведения раздельного учета доходов, затрат и задействованных</w:t>
      </w:r>
      <w:r>
        <w:br/>
      </w:r>
      <w:r>
        <w:rPr>
          <w:rFonts w:ascii="Times New Roman"/>
          <w:b/>
          <w:i w:val="false"/>
          <w:color w:val="000000"/>
        </w:rPr>
        <w:t>активов субъектами естественной монополии, оказывающими услуги</w:t>
      </w:r>
      <w:r>
        <w:br/>
      </w:r>
      <w:r>
        <w:rPr>
          <w:rFonts w:ascii="Times New Roman"/>
          <w:b/>
          <w:i w:val="false"/>
          <w:color w:val="000000"/>
        </w:rPr>
        <w:t>водоснабжения и (или) водоотведения</w:t>
      </w:r>
    </w:p>
    <w:bookmarkEnd w:id="13"/>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не меняется приказом Министра национальной экономики РК от 16.02.2018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14"/>
    <w:p>
      <w:pPr>
        <w:spacing w:after="0"/>
        <w:ind w:left="0"/>
        <w:jc w:val="left"/>
      </w:pPr>
      <w:r>
        <w:rPr>
          <w:rFonts w:ascii="Times New Roman"/>
          <w:b/>
          <w:i w:val="false"/>
          <w:color w:val="000000"/>
        </w:rPr>
        <w:t xml:space="preserve"> 1. Общие положения</w:t>
      </w:r>
    </w:p>
    <w:bookmarkEnd w:id="14"/>
    <w:bookmarkStart w:name="z13" w:id="15"/>
    <w:p>
      <w:pPr>
        <w:spacing w:after="0"/>
        <w:ind w:left="0"/>
        <w:jc w:val="both"/>
      </w:pPr>
      <w:r>
        <w:rPr>
          <w:rFonts w:ascii="Times New Roman"/>
          <w:b w:val="false"/>
          <w:i w:val="false"/>
          <w:color w:val="000000"/>
          <w:sz w:val="28"/>
        </w:rPr>
        <w:t xml:space="preserve">
      1. Настоящие Правила ведения раздельного учета доходов, затрат и задействованных активов субъектами естественной монополии, оказывающими услуги водоснабжения и (или) водоотведения (далее – Правила), разработаны в соответствии с законами Республики Казахстан от 9 июля 1998 года </w:t>
      </w:r>
      <w:r>
        <w:rPr>
          <w:rFonts w:ascii="Times New Roman"/>
          <w:b w:val="false"/>
          <w:i w:val="false"/>
          <w:color w:val="000000"/>
          <w:sz w:val="28"/>
        </w:rPr>
        <w:t>"О естественных монополиях"</w:t>
      </w:r>
      <w:r>
        <w:rPr>
          <w:rFonts w:ascii="Times New Roman"/>
          <w:b w:val="false"/>
          <w:i w:val="false"/>
          <w:color w:val="000000"/>
          <w:sz w:val="28"/>
        </w:rPr>
        <w:t xml:space="preserve">,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xml:space="preserve">,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и иными нормативными правовыми актами Республики Казахстан и определяют порядок и основные принципы ведения раздельного учета субъектами естественных монополий, оказывающими услуги водоснабжения и (или) водоотведения (далее – Субъекты).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национальной экономики РК от 16.02.2018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6"/>
    <w:p>
      <w:pPr>
        <w:spacing w:after="0"/>
        <w:ind w:left="0"/>
        <w:jc w:val="both"/>
      </w:pPr>
      <w:r>
        <w:rPr>
          <w:rFonts w:ascii="Times New Roman"/>
          <w:b w:val="false"/>
          <w:i w:val="false"/>
          <w:color w:val="000000"/>
          <w:sz w:val="28"/>
        </w:rPr>
        <w:t>
      2. Ведение раздельного учета представляет собой систему сбора и обобщения данных о доходах, затратах и задействованных активах раздельно по каждому виду регулируемых услуг и в целом по иной деятельности, с представлением сведений в ведомство уполномоченного органа, осуществляющего руководство в сферах естественных монополий (далее – уполномоченный орган).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национальной экономики РК от 16.02.2018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7"/>
    <w:p>
      <w:pPr>
        <w:spacing w:after="0"/>
        <w:ind w:left="0"/>
        <w:jc w:val="both"/>
      </w:pPr>
      <w:r>
        <w:rPr>
          <w:rFonts w:ascii="Times New Roman"/>
          <w:b w:val="false"/>
          <w:i w:val="false"/>
          <w:color w:val="000000"/>
          <w:sz w:val="28"/>
        </w:rPr>
        <w:t>
      3. Основные принципы раздельного учета:</w:t>
      </w:r>
    </w:p>
    <w:bookmarkEnd w:id="17"/>
    <w:p>
      <w:pPr>
        <w:spacing w:after="0"/>
        <w:ind w:left="0"/>
        <w:jc w:val="both"/>
      </w:pPr>
      <w:r>
        <w:rPr>
          <w:rFonts w:ascii="Times New Roman"/>
          <w:b w:val="false"/>
          <w:i w:val="false"/>
          <w:color w:val="000000"/>
          <w:sz w:val="28"/>
        </w:rPr>
        <w:t>
      1) приоритет прямого отнесения (при возможности прямого отнесения) доходов, затрат и задействованных активов на соответствующие виды услуг на основе данных первичных документов;</w:t>
      </w:r>
    </w:p>
    <w:p>
      <w:pPr>
        <w:spacing w:after="0"/>
        <w:ind w:left="0"/>
        <w:jc w:val="both"/>
      </w:pPr>
      <w:r>
        <w:rPr>
          <w:rFonts w:ascii="Times New Roman"/>
          <w:b w:val="false"/>
          <w:i w:val="false"/>
          <w:color w:val="000000"/>
          <w:sz w:val="28"/>
        </w:rPr>
        <w:t>
      2) наличие причинно-следственной связи доходов, затрат и задействованных активов с теми видами услуг, с которыми они связаны;</w:t>
      </w:r>
    </w:p>
    <w:p>
      <w:pPr>
        <w:spacing w:after="0"/>
        <w:ind w:left="0"/>
        <w:jc w:val="both"/>
      </w:pPr>
      <w:r>
        <w:rPr>
          <w:rFonts w:ascii="Times New Roman"/>
          <w:b w:val="false"/>
          <w:i w:val="false"/>
          <w:color w:val="000000"/>
          <w:sz w:val="28"/>
        </w:rPr>
        <w:t>
      3) прозрачность при отнесении и распределении доходов, затрат и задействованных активов на соответствующие виды регулируемых услуг.</w:t>
      </w:r>
    </w:p>
    <w:bookmarkStart w:name="z16" w:id="18"/>
    <w:p>
      <w:pPr>
        <w:spacing w:after="0"/>
        <w:ind w:left="0"/>
        <w:jc w:val="both"/>
      </w:pPr>
      <w:r>
        <w:rPr>
          <w:rFonts w:ascii="Times New Roman"/>
          <w:b w:val="false"/>
          <w:i w:val="false"/>
          <w:color w:val="000000"/>
          <w:sz w:val="28"/>
        </w:rPr>
        <w:t>
      4. Раздельный учет основывается на первичных документах бухгалтерского и управленческого учета, которые обеспечивает необходимый уровень детализации для разделения доходов, затрат и задействованных активов по видам услуг в соответствии с настоящими Правилами.</w:t>
      </w:r>
    </w:p>
    <w:bookmarkEnd w:id="18"/>
    <w:bookmarkStart w:name="z17" w:id="19"/>
    <w:p>
      <w:pPr>
        <w:spacing w:after="0"/>
        <w:ind w:left="0"/>
        <w:jc w:val="both"/>
      </w:pPr>
      <w:r>
        <w:rPr>
          <w:rFonts w:ascii="Times New Roman"/>
          <w:b w:val="false"/>
          <w:i w:val="false"/>
          <w:color w:val="000000"/>
          <w:sz w:val="28"/>
        </w:rPr>
        <w:t>
      5. Основные понятия, применяемые в настоящих Правилах для целей ведения раздельного учета:</w:t>
      </w:r>
    </w:p>
    <w:bookmarkEnd w:id="19"/>
    <w:bookmarkStart w:name="z18" w:id="20"/>
    <w:p>
      <w:pPr>
        <w:spacing w:after="0"/>
        <w:ind w:left="0"/>
        <w:jc w:val="both"/>
      </w:pPr>
      <w:r>
        <w:rPr>
          <w:rFonts w:ascii="Times New Roman"/>
          <w:b w:val="false"/>
          <w:i w:val="false"/>
          <w:color w:val="000000"/>
          <w:sz w:val="28"/>
        </w:rPr>
        <w:t>
      1) база распределения - количественный показатель (показатели), используемый для распределения затрат и степени задействованности активов на виды услуг;</w:t>
      </w:r>
    </w:p>
    <w:bookmarkEnd w:id="20"/>
    <w:bookmarkStart w:name="z19" w:id="21"/>
    <w:p>
      <w:pPr>
        <w:spacing w:after="0"/>
        <w:ind w:left="0"/>
        <w:jc w:val="both"/>
      </w:pPr>
      <w:r>
        <w:rPr>
          <w:rFonts w:ascii="Times New Roman"/>
          <w:b w:val="false"/>
          <w:i w:val="false"/>
          <w:color w:val="000000"/>
          <w:sz w:val="28"/>
        </w:rPr>
        <w:t>
      2) коэффициент распределения - доля косвенных, совместных или общих затрат или активов, полученная в результате применения базы распределения для распределения затрат и активов между услугами;</w:t>
      </w:r>
    </w:p>
    <w:bookmarkEnd w:id="21"/>
    <w:bookmarkStart w:name="z20" w:id="22"/>
    <w:p>
      <w:pPr>
        <w:spacing w:after="0"/>
        <w:ind w:left="0"/>
        <w:jc w:val="both"/>
      </w:pPr>
      <w:r>
        <w:rPr>
          <w:rFonts w:ascii="Times New Roman"/>
          <w:b w:val="false"/>
          <w:i w:val="false"/>
          <w:color w:val="000000"/>
          <w:sz w:val="28"/>
        </w:rPr>
        <w:t>
      3) совместно задействованные активы - задействованные активы, которые используются для предоставления нескольких услуг (группы услуг), но не имеют какой-либо определенной причинно-следственной связи с этими услугами, но степень их задействованности в предоставлении услуг определена на основе баз распределения, согласованных с уполномоченным органом;</w:t>
      </w:r>
    </w:p>
    <w:bookmarkEnd w:id="22"/>
    <w:bookmarkStart w:name="z21" w:id="23"/>
    <w:p>
      <w:pPr>
        <w:spacing w:after="0"/>
        <w:ind w:left="0"/>
        <w:jc w:val="both"/>
      </w:pPr>
      <w:r>
        <w:rPr>
          <w:rFonts w:ascii="Times New Roman"/>
          <w:b w:val="false"/>
          <w:i w:val="false"/>
          <w:color w:val="000000"/>
          <w:sz w:val="28"/>
        </w:rPr>
        <w:t>
      4) совместные затраты – затраты, которые используются для предоставления нескольких услуг (группы услуг), но не имеют какой-либо определенной причинно-следственной связи с этими услугами, поэтому распределяются на основе баз распределения, согласованных с уполномоченным органом;</w:t>
      </w:r>
    </w:p>
    <w:bookmarkEnd w:id="23"/>
    <w:bookmarkStart w:name="z22" w:id="24"/>
    <w:p>
      <w:pPr>
        <w:spacing w:after="0"/>
        <w:ind w:left="0"/>
        <w:jc w:val="both"/>
      </w:pPr>
      <w:r>
        <w:rPr>
          <w:rFonts w:ascii="Times New Roman"/>
          <w:b w:val="false"/>
          <w:i w:val="false"/>
          <w:color w:val="000000"/>
          <w:sz w:val="28"/>
        </w:rPr>
        <w:t>
      5) общие активы - активы, которые связаны с предоставлением всех видов услуг, но не имеют какой-либо определенной причинно-следственной связи с этими услугами, поэтому степень их задействованности в предоставлении услуг определяется на основе баз распределения, согласованных с уполномоченным органом;</w:t>
      </w:r>
    </w:p>
    <w:bookmarkEnd w:id="24"/>
    <w:bookmarkStart w:name="z23" w:id="25"/>
    <w:p>
      <w:pPr>
        <w:spacing w:after="0"/>
        <w:ind w:left="0"/>
        <w:jc w:val="both"/>
      </w:pPr>
      <w:r>
        <w:rPr>
          <w:rFonts w:ascii="Times New Roman"/>
          <w:b w:val="false"/>
          <w:i w:val="false"/>
          <w:color w:val="000000"/>
          <w:sz w:val="28"/>
        </w:rPr>
        <w:t>
      6) общие затраты - затраты, которые связаны с предоставлением всех видов услуг, но не имеют какой-либо определенной причинно-следственной связи с этими услугами, поэтому распределяются на основе баз распределения, согласованных с уполномоченным органом;</w:t>
      </w:r>
    </w:p>
    <w:bookmarkEnd w:id="25"/>
    <w:bookmarkStart w:name="z24" w:id="26"/>
    <w:p>
      <w:pPr>
        <w:spacing w:after="0"/>
        <w:ind w:left="0"/>
        <w:jc w:val="both"/>
      </w:pPr>
      <w:r>
        <w:rPr>
          <w:rFonts w:ascii="Times New Roman"/>
          <w:b w:val="false"/>
          <w:i w:val="false"/>
          <w:color w:val="000000"/>
          <w:sz w:val="28"/>
        </w:rPr>
        <w:t>
      7) задействованные активы - активы субъекта, используемые для предоставления услуги (услуг), включающие основные средства и нематериальные активы;</w:t>
      </w:r>
    </w:p>
    <w:bookmarkEnd w:id="26"/>
    <w:bookmarkStart w:name="z25" w:id="27"/>
    <w:p>
      <w:pPr>
        <w:spacing w:after="0"/>
        <w:ind w:left="0"/>
        <w:jc w:val="both"/>
      </w:pPr>
      <w:r>
        <w:rPr>
          <w:rFonts w:ascii="Times New Roman"/>
          <w:b w:val="false"/>
          <w:i w:val="false"/>
          <w:color w:val="000000"/>
          <w:sz w:val="28"/>
        </w:rPr>
        <w:t>
      8) косвенно задействованные активы на услуги - задействованные активы, которые имеют причинно-следственные связи одновременно с несколькими услугами (группой услуг), и поэтому они не прямо и однозначно отнесены к определенной услуге, но степень их задействованности в оказании определенных услуг определяется на основе баз распределения, отражающих эти причинно-следственные связи;</w:t>
      </w:r>
    </w:p>
    <w:bookmarkEnd w:id="27"/>
    <w:bookmarkStart w:name="z26" w:id="28"/>
    <w:p>
      <w:pPr>
        <w:spacing w:after="0"/>
        <w:ind w:left="0"/>
        <w:jc w:val="both"/>
      </w:pPr>
      <w:r>
        <w:rPr>
          <w:rFonts w:ascii="Times New Roman"/>
          <w:b w:val="false"/>
          <w:i w:val="false"/>
          <w:color w:val="000000"/>
          <w:sz w:val="28"/>
        </w:rPr>
        <w:t>
      9) косвенные затраты на услуги - затраты, которые имеют причинно-следственные связи одновременно с несколькими услугами (группой услуг), и поэтому они не прямо и однозначно отнесены к определенной услуге, но распределены на услуги на основе баз распределения, отражающих причины возникновения затрат;</w:t>
      </w:r>
    </w:p>
    <w:bookmarkEnd w:id="28"/>
    <w:bookmarkStart w:name="z27" w:id="29"/>
    <w:p>
      <w:pPr>
        <w:spacing w:after="0"/>
        <w:ind w:left="0"/>
        <w:jc w:val="both"/>
      </w:pPr>
      <w:r>
        <w:rPr>
          <w:rFonts w:ascii="Times New Roman"/>
          <w:b w:val="false"/>
          <w:i w:val="false"/>
          <w:color w:val="000000"/>
          <w:sz w:val="28"/>
        </w:rPr>
        <w:t>
      10) прямо задействованные активы на услуги - задействованные активы, которые имеют прямые причинно-следственные связи с предоставлением определенной услуги, и поэтому прямо и однозначно отнесены к определенной услуге;</w:t>
      </w:r>
    </w:p>
    <w:bookmarkEnd w:id="29"/>
    <w:bookmarkStart w:name="z28" w:id="30"/>
    <w:p>
      <w:pPr>
        <w:spacing w:after="0"/>
        <w:ind w:left="0"/>
        <w:jc w:val="both"/>
      </w:pPr>
      <w:r>
        <w:rPr>
          <w:rFonts w:ascii="Times New Roman"/>
          <w:b w:val="false"/>
          <w:i w:val="false"/>
          <w:color w:val="000000"/>
          <w:sz w:val="28"/>
        </w:rPr>
        <w:t>
      11) прямые затраты на услуги - затраты, которые имеют прямые причинно-следственные связи с определенной услугой, и поэтому прямо и однозначно отнесены к определенной услуге;</w:t>
      </w:r>
    </w:p>
    <w:bookmarkEnd w:id="30"/>
    <w:bookmarkStart w:name="z29" w:id="31"/>
    <w:p>
      <w:pPr>
        <w:spacing w:after="0"/>
        <w:ind w:left="0"/>
        <w:jc w:val="both"/>
      </w:pPr>
      <w:r>
        <w:rPr>
          <w:rFonts w:ascii="Times New Roman"/>
          <w:b w:val="false"/>
          <w:i w:val="false"/>
          <w:color w:val="000000"/>
          <w:sz w:val="28"/>
        </w:rPr>
        <w:t>
      12) распределение на основе причинно-следственной связи - распределение доходов, затрат и задействованных активов по видам регулируемых услуг на основе предварительных исследований причин возникновения связей доходов, затрат и задействованных активов с определенными услугами.</w:t>
      </w:r>
    </w:p>
    <w:bookmarkEnd w:id="31"/>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 о естественных монополиях.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национальной экономики РК от 16.02.2018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32"/>
    <w:p>
      <w:pPr>
        <w:spacing w:after="0"/>
        <w:ind w:left="0"/>
        <w:jc w:val="both"/>
      </w:pPr>
      <w:r>
        <w:rPr>
          <w:rFonts w:ascii="Times New Roman"/>
          <w:b w:val="false"/>
          <w:i w:val="false"/>
          <w:color w:val="000000"/>
          <w:sz w:val="28"/>
        </w:rPr>
        <w:t xml:space="preserve">
      6. Субъекты для целей ведения раздельного учета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7 Закона Республики Казахстан "О естественных монополиях" разрабатывают методики ведения раздельного учета доходов, затрат и задействованных активов по видам регулируемых услуг субъектов естественных монополий в порядке, определенном настоящими Правилами.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национальной экономики РК от 16.02.2018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3"/>
    <w:p>
      <w:pPr>
        <w:spacing w:after="0"/>
        <w:ind w:left="0"/>
        <w:jc w:val="both"/>
      </w:pPr>
      <w:r>
        <w:rPr>
          <w:rFonts w:ascii="Times New Roman"/>
          <w:b w:val="false"/>
          <w:i w:val="false"/>
          <w:color w:val="000000"/>
          <w:sz w:val="28"/>
        </w:rPr>
        <w:t>
      7. В качестве базы распределения совместно задействованных и общих активов субъект принимает полученный от оказания услуг доход, либо иные показатели по согласованию с уполномоченным органом. Базы распределения косвенно задействованных активов с уполномоченным органом не согласовываются. Базы распределения задействованных активов пересматриваются один раз в год по итогам финансового года.</w:t>
      </w:r>
    </w:p>
    <w:bookmarkEnd w:id="33"/>
    <w:bookmarkStart w:name="z32" w:id="34"/>
    <w:p>
      <w:pPr>
        <w:spacing w:after="0"/>
        <w:ind w:left="0"/>
        <w:jc w:val="left"/>
      </w:pPr>
      <w:r>
        <w:rPr>
          <w:rFonts w:ascii="Times New Roman"/>
          <w:b/>
          <w:i w:val="false"/>
          <w:color w:val="000000"/>
        </w:rPr>
        <w:t xml:space="preserve"> 2. Порядок ведения доходов, затрат и задействованных</w:t>
      </w:r>
      <w:r>
        <w:br/>
      </w:r>
      <w:r>
        <w:rPr>
          <w:rFonts w:ascii="Times New Roman"/>
          <w:b/>
          <w:i w:val="false"/>
          <w:color w:val="000000"/>
        </w:rPr>
        <w:t>активов по видам оказываемых услуг</w:t>
      </w:r>
    </w:p>
    <w:bookmarkEnd w:id="34"/>
    <w:bookmarkStart w:name="z33" w:id="35"/>
    <w:p>
      <w:pPr>
        <w:spacing w:after="0"/>
        <w:ind w:left="0"/>
        <w:jc w:val="both"/>
      </w:pPr>
      <w:r>
        <w:rPr>
          <w:rFonts w:ascii="Times New Roman"/>
          <w:b w:val="false"/>
          <w:i w:val="false"/>
          <w:color w:val="000000"/>
          <w:sz w:val="28"/>
        </w:rPr>
        <w:t>
      8. Доходы от оказания услуг учитываются раздельно по видам регулируемых услуг и нерегулируемых услуг на основе первичных документов и данных бухгалтерского учета:</w:t>
      </w:r>
    </w:p>
    <w:bookmarkEnd w:id="35"/>
    <w:p>
      <w:pPr>
        <w:spacing w:after="0"/>
        <w:ind w:left="0"/>
        <w:jc w:val="both"/>
      </w:pPr>
      <w:r>
        <w:rPr>
          <w:rFonts w:ascii="Times New Roman"/>
          <w:b w:val="false"/>
          <w:i w:val="false"/>
          <w:color w:val="000000"/>
          <w:sz w:val="28"/>
        </w:rPr>
        <w:t>
      1) по регулируемым видам деятельности - в соответствии с фактическим объемом оказанных услуг в рамках заключенных договоров и по тарифам, утвержденным уполномоченным органом;</w:t>
      </w:r>
    </w:p>
    <w:p>
      <w:pPr>
        <w:spacing w:after="0"/>
        <w:ind w:left="0"/>
        <w:jc w:val="both"/>
      </w:pPr>
      <w:r>
        <w:rPr>
          <w:rFonts w:ascii="Times New Roman"/>
          <w:b w:val="false"/>
          <w:i w:val="false"/>
          <w:color w:val="000000"/>
          <w:sz w:val="28"/>
        </w:rPr>
        <w:t>
      2) по нерегулируемым видам деятельности - исходя из объемов и цен, по которым соответствующие услуги были предоставлены.</w:t>
      </w:r>
    </w:p>
    <w:bookmarkStart w:name="z34" w:id="36"/>
    <w:p>
      <w:pPr>
        <w:spacing w:after="0"/>
        <w:ind w:left="0"/>
        <w:jc w:val="both"/>
      </w:pPr>
      <w:r>
        <w:rPr>
          <w:rFonts w:ascii="Times New Roman"/>
          <w:b w:val="false"/>
          <w:i w:val="false"/>
          <w:color w:val="000000"/>
          <w:sz w:val="28"/>
        </w:rPr>
        <w:t>
      9. Для целей ведения раздельного учета задействованных активов по видам оказываемых услуг из всего перечня основных средств выделяются:</w:t>
      </w:r>
    </w:p>
    <w:bookmarkEnd w:id="36"/>
    <w:p>
      <w:pPr>
        <w:spacing w:after="0"/>
        <w:ind w:left="0"/>
        <w:jc w:val="both"/>
      </w:pPr>
      <w:r>
        <w:rPr>
          <w:rFonts w:ascii="Times New Roman"/>
          <w:b w:val="false"/>
          <w:i w:val="false"/>
          <w:color w:val="000000"/>
          <w:sz w:val="28"/>
        </w:rPr>
        <w:t>
      1) прямо задействованные активы на услуги;</w:t>
      </w:r>
    </w:p>
    <w:p>
      <w:pPr>
        <w:spacing w:after="0"/>
        <w:ind w:left="0"/>
        <w:jc w:val="both"/>
      </w:pPr>
      <w:r>
        <w:rPr>
          <w:rFonts w:ascii="Times New Roman"/>
          <w:b w:val="false"/>
          <w:i w:val="false"/>
          <w:color w:val="000000"/>
          <w:sz w:val="28"/>
        </w:rPr>
        <w:t>
      2) косвенно задействованные активы на услуги;</w:t>
      </w:r>
    </w:p>
    <w:p>
      <w:pPr>
        <w:spacing w:after="0"/>
        <w:ind w:left="0"/>
        <w:jc w:val="both"/>
      </w:pPr>
      <w:r>
        <w:rPr>
          <w:rFonts w:ascii="Times New Roman"/>
          <w:b w:val="false"/>
          <w:i w:val="false"/>
          <w:color w:val="000000"/>
          <w:sz w:val="28"/>
        </w:rPr>
        <w:t>
      3) совместно задействованные активы на услуги;</w:t>
      </w:r>
    </w:p>
    <w:p>
      <w:pPr>
        <w:spacing w:after="0"/>
        <w:ind w:left="0"/>
        <w:jc w:val="both"/>
      </w:pPr>
      <w:r>
        <w:rPr>
          <w:rFonts w:ascii="Times New Roman"/>
          <w:b w:val="false"/>
          <w:i w:val="false"/>
          <w:color w:val="000000"/>
          <w:sz w:val="28"/>
        </w:rPr>
        <w:t>
      4) общие активы.</w:t>
      </w:r>
    </w:p>
    <w:bookmarkStart w:name="z35" w:id="37"/>
    <w:p>
      <w:pPr>
        <w:spacing w:after="0"/>
        <w:ind w:left="0"/>
        <w:jc w:val="both"/>
      </w:pPr>
      <w:r>
        <w:rPr>
          <w:rFonts w:ascii="Times New Roman"/>
          <w:b w:val="false"/>
          <w:i w:val="false"/>
          <w:color w:val="000000"/>
          <w:sz w:val="28"/>
        </w:rPr>
        <w:t>
      10. Прямо задействованные активы относятся непосредственно на определенную услугу. Косвенно задействованные, совместно задействованные и общие активы относятся на услуги с применением баз распределения и рассчитанных на их основе коэффициентов распределения.</w:t>
      </w:r>
    </w:p>
    <w:bookmarkEnd w:id="37"/>
    <w:bookmarkStart w:name="z36" w:id="38"/>
    <w:p>
      <w:pPr>
        <w:spacing w:after="0"/>
        <w:ind w:left="0"/>
        <w:jc w:val="both"/>
      </w:pPr>
      <w:r>
        <w:rPr>
          <w:rFonts w:ascii="Times New Roman"/>
          <w:b w:val="false"/>
          <w:i w:val="false"/>
          <w:color w:val="000000"/>
          <w:sz w:val="28"/>
        </w:rPr>
        <w:t>
      11. Основные средства субъекта для целей ведения раздельного учета затрат группируются по технологическим признакам в соответствии с действующим в Республике Казахстан классификатором основных фондов, утвержденным уполномоченным органом в сфере технического регулирования:</w:t>
      </w:r>
    </w:p>
    <w:bookmarkEnd w:id="38"/>
    <w:p>
      <w:pPr>
        <w:spacing w:after="0"/>
        <w:ind w:left="0"/>
        <w:jc w:val="both"/>
      </w:pPr>
      <w:r>
        <w:rPr>
          <w:rFonts w:ascii="Times New Roman"/>
          <w:b w:val="false"/>
          <w:i w:val="false"/>
          <w:color w:val="000000"/>
          <w:sz w:val="28"/>
        </w:rPr>
        <w:t>
      1) здания, строения (насосная станция, здание служебное);</w:t>
      </w:r>
    </w:p>
    <w:p>
      <w:pPr>
        <w:spacing w:after="0"/>
        <w:ind w:left="0"/>
        <w:jc w:val="both"/>
      </w:pPr>
      <w:r>
        <w:rPr>
          <w:rFonts w:ascii="Times New Roman"/>
          <w:b w:val="false"/>
          <w:i w:val="false"/>
          <w:color w:val="000000"/>
          <w:sz w:val="28"/>
        </w:rPr>
        <w:t>
      2) сооружения (каналы водные, каналы отводящие, дамбы, плотины, резервуары, цистерны, баки и другие емкости, закрытая коллекторно-дренажная сеть, дренажная сеть, водовыпуск, ограждения, прочие сооружения);</w:t>
      </w:r>
    </w:p>
    <w:p>
      <w:pPr>
        <w:spacing w:after="0"/>
        <w:ind w:left="0"/>
        <w:jc w:val="both"/>
      </w:pPr>
      <w:r>
        <w:rPr>
          <w:rFonts w:ascii="Times New Roman"/>
          <w:b w:val="false"/>
          <w:i w:val="false"/>
          <w:color w:val="000000"/>
          <w:sz w:val="28"/>
        </w:rPr>
        <w:t>
      3) передаточные устройства (устройства и линии электропередачи и связи, внутренние трубопроводы, трубопроводы, сети водоснабжения, водоотведения и теплоснабжения);</w:t>
      </w:r>
    </w:p>
    <w:p>
      <w:pPr>
        <w:spacing w:after="0"/>
        <w:ind w:left="0"/>
        <w:jc w:val="both"/>
      </w:pPr>
      <w:r>
        <w:rPr>
          <w:rFonts w:ascii="Times New Roman"/>
          <w:b w:val="false"/>
          <w:i w:val="false"/>
          <w:color w:val="000000"/>
          <w:sz w:val="28"/>
        </w:rPr>
        <w:t>
      4) силовые машины и оборудование (теплотехническое оборудование, электродвигатели и дизель - генераторы, прочие силовые установки и оборудование (разъединитель, привод);</w:t>
      </w:r>
    </w:p>
    <w:p>
      <w:pPr>
        <w:spacing w:after="0"/>
        <w:ind w:left="0"/>
        <w:jc w:val="both"/>
      </w:pPr>
      <w:r>
        <w:rPr>
          <w:rFonts w:ascii="Times New Roman"/>
          <w:b w:val="false"/>
          <w:i w:val="false"/>
          <w:color w:val="000000"/>
          <w:sz w:val="28"/>
        </w:rPr>
        <w:t>
      5) рабочие машины и оборудование по видам деятельности (кроме мобильного транспорта);</w:t>
      </w:r>
    </w:p>
    <w:p>
      <w:pPr>
        <w:spacing w:after="0"/>
        <w:ind w:left="0"/>
        <w:jc w:val="both"/>
      </w:pPr>
      <w:r>
        <w:rPr>
          <w:rFonts w:ascii="Times New Roman"/>
          <w:b w:val="false"/>
          <w:i w:val="false"/>
          <w:color w:val="000000"/>
          <w:sz w:val="28"/>
        </w:rPr>
        <w:t>
      6) другие машины и оборудование (кроме мобильного транспорта) (насосы, подъемно-транспортные, погрузочно-разгрузочные машины и оборудование (тельфер, бульдозер), машины и оборудование для электросварки и резки (сварочный агрегат);</w:t>
      </w:r>
    </w:p>
    <w:p>
      <w:pPr>
        <w:spacing w:after="0"/>
        <w:ind w:left="0"/>
        <w:jc w:val="both"/>
      </w:pPr>
      <w:r>
        <w:rPr>
          <w:rFonts w:ascii="Times New Roman"/>
          <w:b w:val="false"/>
          <w:i w:val="false"/>
          <w:color w:val="000000"/>
          <w:sz w:val="28"/>
        </w:rPr>
        <w:t>
      7) мобильный транспорт (подвижной состав автомобильного транспорта, производственный транспорт, легковой автотранспорт, прочие транспортные средства);</w:t>
      </w:r>
    </w:p>
    <w:p>
      <w:pPr>
        <w:spacing w:after="0"/>
        <w:ind w:left="0"/>
        <w:jc w:val="both"/>
      </w:pPr>
      <w:r>
        <w:rPr>
          <w:rFonts w:ascii="Times New Roman"/>
          <w:b w:val="false"/>
          <w:i w:val="false"/>
          <w:color w:val="000000"/>
          <w:sz w:val="28"/>
        </w:rPr>
        <w:t>
      8) компьютерные, периферийные устройства и оборудование по обработке данных (компьютеры, периферийные устройства и оборудование по обработке данных);</w:t>
      </w:r>
    </w:p>
    <w:p>
      <w:pPr>
        <w:spacing w:after="0"/>
        <w:ind w:left="0"/>
        <w:jc w:val="both"/>
      </w:pPr>
      <w:r>
        <w:rPr>
          <w:rFonts w:ascii="Times New Roman"/>
          <w:b w:val="false"/>
          <w:i w:val="false"/>
          <w:color w:val="000000"/>
          <w:sz w:val="28"/>
        </w:rPr>
        <w:t>
      9) фиксированные активы, не включенные в другие группы (нематериальные активы, офисная мебель, инструменты, производственный инвентарь и принадлежности, копировальная множительная техника, измерительные и регулирующие приборы и устройства, лабораторное оборудование).</w:t>
      </w:r>
    </w:p>
    <w:bookmarkStart w:name="z37" w:id="39"/>
    <w:p>
      <w:pPr>
        <w:spacing w:after="0"/>
        <w:ind w:left="0"/>
        <w:jc w:val="both"/>
      </w:pPr>
      <w:r>
        <w:rPr>
          <w:rFonts w:ascii="Times New Roman"/>
          <w:b w:val="false"/>
          <w:i w:val="false"/>
          <w:color w:val="000000"/>
          <w:sz w:val="28"/>
        </w:rPr>
        <w:t xml:space="preserve">
      12. Для распределения стоимости задействованных активов на услуги заполняется Таблица распределения задействованных активов по видам услуг по форме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к настоящим Правилам, в которой стоимость активов определяется на основе остаточной стоимости основных средств субъекта по состоянию на последнюю отчетную дату предыдущего финансового года.</w:t>
      </w:r>
    </w:p>
    <w:bookmarkEnd w:id="39"/>
    <w:p>
      <w:pPr>
        <w:spacing w:after="0"/>
        <w:ind w:left="0"/>
        <w:jc w:val="both"/>
      </w:pPr>
      <w:r>
        <w:rPr>
          <w:rFonts w:ascii="Times New Roman"/>
          <w:b w:val="false"/>
          <w:i w:val="false"/>
          <w:color w:val="000000"/>
          <w:sz w:val="28"/>
        </w:rPr>
        <w:t>
      Коэффициент распределения для каждой группы основных средств переносится в Таблицу распределения задействованных активов по видам услуг (</w:t>
      </w:r>
      <w:r>
        <w:rPr>
          <w:rFonts w:ascii="Times New Roman"/>
          <w:b w:val="false"/>
          <w:i w:val="false"/>
          <w:color w:val="000000"/>
          <w:sz w:val="28"/>
        </w:rPr>
        <w:t xml:space="preserve"> приложение 1</w:t>
      </w:r>
      <w:r>
        <w:rPr>
          <w:rFonts w:ascii="Times New Roman"/>
          <w:b w:val="false"/>
          <w:i w:val="false"/>
          <w:color w:val="000000"/>
          <w:sz w:val="28"/>
        </w:rPr>
        <w:t xml:space="preserve"> к настоящим Правилам) из итоговой строки Расчета коэффициента распределения активов и затрат по группе по форме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к настоящим Правилам. Стоимость активов группы основных средств, относящаяся на каждую услугу, определяется как произведение стоимости задействованных активов на коэффициент распределения.</w:t>
      </w:r>
    </w:p>
    <w:bookmarkStart w:name="z38" w:id="40"/>
    <w:p>
      <w:pPr>
        <w:spacing w:after="0"/>
        <w:ind w:left="0"/>
        <w:jc w:val="both"/>
      </w:pPr>
      <w:r>
        <w:rPr>
          <w:rFonts w:ascii="Times New Roman"/>
          <w:b w:val="false"/>
          <w:i w:val="false"/>
          <w:color w:val="000000"/>
          <w:sz w:val="28"/>
        </w:rPr>
        <w:t>
      13. Для каждой группы основных средств дополнительно составляется Расчет коэффициента распределения активов и затрат по группе (</w:t>
      </w:r>
      <w:r>
        <w:rPr>
          <w:rFonts w:ascii="Times New Roman"/>
          <w:b w:val="false"/>
          <w:i w:val="false"/>
          <w:color w:val="000000"/>
          <w:sz w:val="28"/>
        </w:rPr>
        <w:t xml:space="preserve"> приложение 2</w:t>
      </w:r>
      <w:r>
        <w:rPr>
          <w:rFonts w:ascii="Times New Roman"/>
          <w:b w:val="false"/>
          <w:i w:val="false"/>
          <w:color w:val="000000"/>
          <w:sz w:val="28"/>
        </w:rPr>
        <w:t xml:space="preserve"> к настоящим Правилам), результатом которого является определение коэффициента распределения для группы основных средств, в целом. В Расчете коэффициента распределения активов и затрат по группе (</w:t>
      </w:r>
      <w:r>
        <w:rPr>
          <w:rFonts w:ascii="Times New Roman"/>
          <w:b w:val="false"/>
          <w:i w:val="false"/>
          <w:color w:val="000000"/>
          <w:sz w:val="28"/>
        </w:rPr>
        <w:t xml:space="preserve"> приложение 2</w:t>
      </w:r>
      <w:r>
        <w:rPr>
          <w:rFonts w:ascii="Times New Roman"/>
          <w:b w:val="false"/>
          <w:i w:val="false"/>
          <w:color w:val="000000"/>
          <w:sz w:val="28"/>
        </w:rPr>
        <w:t xml:space="preserve"> к настоящим Правилам) вносятся все единицы основных средств группы, определяется база распределения для косвенных, совместных и общих активов. Коэффициент распределения по каждой задействованной единице основных средств определяется как частное от деления базы распределения для определенной услуги на суммарное значение базы распределения.</w:t>
      </w:r>
    </w:p>
    <w:bookmarkEnd w:id="40"/>
    <w:bookmarkStart w:name="z39" w:id="41"/>
    <w:p>
      <w:pPr>
        <w:spacing w:after="0"/>
        <w:ind w:left="0"/>
        <w:jc w:val="both"/>
      </w:pPr>
      <w:r>
        <w:rPr>
          <w:rFonts w:ascii="Times New Roman"/>
          <w:b w:val="false"/>
          <w:i w:val="false"/>
          <w:color w:val="000000"/>
          <w:sz w:val="28"/>
        </w:rPr>
        <w:t xml:space="preserve">
      14. Затраты, связанные с оказанием регулируемых видов услуг, определяются в соответствии с учетной политикой Субъекта. При этом при формировании тарифных смет затраты учитываются с учетом требований </w:t>
      </w:r>
      <w:r>
        <w:rPr>
          <w:rFonts w:ascii="Times New Roman"/>
          <w:b w:val="false"/>
          <w:i w:val="false"/>
          <w:color w:val="000000"/>
          <w:sz w:val="28"/>
        </w:rPr>
        <w:t xml:space="preserve"> особого порядка</w:t>
      </w:r>
      <w:r>
        <w:rPr>
          <w:rFonts w:ascii="Times New Roman"/>
          <w:b w:val="false"/>
          <w:i w:val="false"/>
          <w:color w:val="000000"/>
          <w:sz w:val="28"/>
        </w:rPr>
        <w:t xml:space="preserve"> формирования затрат, применяемом при утверждении тарифов (цен, ставок сборов) на услуги (товары, работы) субъектов естественной монополии.</w:t>
      </w:r>
    </w:p>
    <w:bookmarkEnd w:id="41"/>
    <w:p>
      <w:pPr>
        <w:spacing w:after="0"/>
        <w:ind w:left="0"/>
        <w:jc w:val="both"/>
      </w:pPr>
      <w:r>
        <w:rPr>
          <w:rFonts w:ascii="Times New Roman"/>
          <w:b w:val="false"/>
          <w:i w:val="false"/>
          <w:color w:val="000000"/>
          <w:sz w:val="28"/>
        </w:rPr>
        <w:t xml:space="preserve">
      Отчет об итоговом распределении доходов и затрат по видам услуг составляется по форме </w:t>
      </w:r>
      <w:r>
        <w:rPr>
          <w:rFonts w:ascii="Times New Roman"/>
          <w:b w:val="false"/>
          <w:i w:val="false"/>
          <w:color w:val="000000"/>
          <w:sz w:val="28"/>
        </w:rPr>
        <w:t xml:space="preserve"> приложения 3</w:t>
      </w:r>
      <w:r>
        <w:rPr>
          <w:rFonts w:ascii="Times New Roman"/>
          <w:b w:val="false"/>
          <w:i w:val="false"/>
          <w:color w:val="000000"/>
          <w:sz w:val="28"/>
        </w:rPr>
        <w:t xml:space="preserve"> к настоящим Правилам.</w:t>
      </w:r>
    </w:p>
    <w:bookmarkStart w:name="z40" w:id="42"/>
    <w:p>
      <w:pPr>
        <w:spacing w:after="0"/>
        <w:ind w:left="0"/>
        <w:jc w:val="both"/>
      </w:pPr>
      <w:r>
        <w:rPr>
          <w:rFonts w:ascii="Times New Roman"/>
          <w:b w:val="false"/>
          <w:i w:val="false"/>
          <w:color w:val="000000"/>
          <w:sz w:val="28"/>
        </w:rPr>
        <w:t>
      15. Затраты субъекта на оказание регулируемых и нерегулируемых услуг включают в себя следующие статьи:</w:t>
      </w:r>
    </w:p>
    <w:bookmarkEnd w:id="42"/>
    <w:p>
      <w:pPr>
        <w:spacing w:after="0"/>
        <w:ind w:left="0"/>
        <w:jc w:val="both"/>
      </w:pPr>
      <w:r>
        <w:rPr>
          <w:rFonts w:ascii="Times New Roman"/>
          <w:b w:val="false"/>
          <w:i w:val="false"/>
          <w:color w:val="000000"/>
          <w:sz w:val="28"/>
        </w:rPr>
        <w:t>
      1) износ основных средств и амортизация нематериальных активов;</w:t>
      </w:r>
    </w:p>
    <w:p>
      <w:pPr>
        <w:spacing w:after="0"/>
        <w:ind w:left="0"/>
        <w:jc w:val="both"/>
      </w:pPr>
      <w:r>
        <w:rPr>
          <w:rFonts w:ascii="Times New Roman"/>
          <w:b w:val="false"/>
          <w:i w:val="false"/>
          <w:color w:val="000000"/>
          <w:sz w:val="28"/>
        </w:rPr>
        <w:t>
      2) расходы на ремонт основных средств, не приводящие к росту стоимости основных средств;</w:t>
      </w:r>
    </w:p>
    <w:p>
      <w:pPr>
        <w:spacing w:after="0"/>
        <w:ind w:left="0"/>
        <w:jc w:val="both"/>
      </w:pPr>
      <w:r>
        <w:rPr>
          <w:rFonts w:ascii="Times New Roman"/>
          <w:b w:val="false"/>
          <w:i w:val="false"/>
          <w:color w:val="000000"/>
          <w:sz w:val="28"/>
        </w:rPr>
        <w:t>
      3) расходы на оплату труда;</w:t>
      </w:r>
    </w:p>
    <w:p>
      <w:pPr>
        <w:spacing w:after="0"/>
        <w:ind w:left="0"/>
        <w:jc w:val="both"/>
      </w:pPr>
      <w:r>
        <w:rPr>
          <w:rFonts w:ascii="Times New Roman"/>
          <w:b w:val="false"/>
          <w:i w:val="false"/>
          <w:color w:val="000000"/>
          <w:sz w:val="28"/>
        </w:rPr>
        <w:t>
      4) расходы по социальному налогу;</w:t>
      </w:r>
    </w:p>
    <w:p>
      <w:pPr>
        <w:spacing w:after="0"/>
        <w:ind w:left="0"/>
        <w:jc w:val="both"/>
      </w:pPr>
      <w:r>
        <w:rPr>
          <w:rFonts w:ascii="Times New Roman"/>
          <w:b w:val="false"/>
          <w:i w:val="false"/>
          <w:color w:val="000000"/>
          <w:sz w:val="28"/>
        </w:rPr>
        <w:t>
      5) расходы на эксплуатацию;</w:t>
      </w:r>
    </w:p>
    <w:p>
      <w:pPr>
        <w:spacing w:after="0"/>
        <w:ind w:left="0"/>
        <w:jc w:val="both"/>
      </w:pPr>
      <w:r>
        <w:rPr>
          <w:rFonts w:ascii="Times New Roman"/>
          <w:b w:val="false"/>
          <w:i w:val="false"/>
          <w:color w:val="000000"/>
          <w:sz w:val="28"/>
        </w:rPr>
        <w:t>
      6) расходы периода;</w:t>
      </w:r>
    </w:p>
    <w:p>
      <w:pPr>
        <w:spacing w:after="0"/>
        <w:ind w:left="0"/>
        <w:jc w:val="both"/>
      </w:pPr>
      <w:r>
        <w:rPr>
          <w:rFonts w:ascii="Times New Roman"/>
          <w:b w:val="false"/>
          <w:i w:val="false"/>
          <w:color w:val="000000"/>
          <w:sz w:val="28"/>
        </w:rPr>
        <w:t>
      7) прочие расходы.</w:t>
      </w:r>
    </w:p>
    <w:p>
      <w:pPr>
        <w:spacing w:after="0"/>
        <w:ind w:left="0"/>
        <w:jc w:val="both"/>
      </w:pPr>
      <w:r>
        <w:rPr>
          <w:rFonts w:ascii="Times New Roman"/>
          <w:b w:val="false"/>
          <w:i w:val="false"/>
          <w:color w:val="000000"/>
          <w:sz w:val="28"/>
        </w:rPr>
        <w:t>
      Внутри каждой статьи допускается более подробное детализирование затрат.</w:t>
      </w:r>
    </w:p>
    <w:bookmarkStart w:name="z41" w:id="43"/>
    <w:p>
      <w:pPr>
        <w:spacing w:after="0"/>
        <w:ind w:left="0"/>
        <w:jc w:val="both"/>
      </w:pPr>
      <w:r>
        <w:rPr>
          <w:rFonts w:ascii="Times New Roman"/>
          <w:b w:val="false"/>
          <w:i w:val="false"/>
          <w:color w:val="000000"/>
          <w:sz w:val="28"/>
        </w:rPr>
        <w:t xml:space="preserve">
      16. Износ основных средств определяется для каждой группы основных средств, перечисленных в </w:t>
      </w:r>
      <w:r>
        <w:rPr>
          <w:rFonts w:ascii="Times New Roman"/>
          <w:b w:val="false"/>
          <w:i w:val="false"/>
          <w:color w:val="000000"/>
          <w:sz w:val="28"/>
        </w:rPr>
        <w:t xml:space="preserve"> пункте 15</w:t>
      </w:r>
      <w:r>
        <w:rPr>
          <w:rFonts w:ascii="Times New Roman"/>
          <w:b w:val="false"/>
          <w:i w:val="false"/>
          <w:color w:val="000000"/>
          <w:sz w:val="28"/>
        </w:rPr>
        <w:t xml:space="preserve"> настоящих Правил, и относится на услуги согласно соответствующим коэффициентам распределения активов, рассчитанным по Таблице распределения задействованных активов по видам услуг (</w:t>
      </w:r>
      <w:r>
        <w:rPr>
          <w:rFonts w:ascii="Times New Roman"/>
          <w:b w:val="false"/>
          <w:i w:val="false"/>
          <w:color w:val="000000"/>
          <w:sz w:val="28"/>
        </w:rPr>
        <w:t xml:space="preserve"> приложение 1</w:t>
      </w:r>
      <w:r>
        <w:rPr>
          <w:rFonts w:ascii="Times New Roman"/>
          <w:b w:val="false"/>
          <w:i w:val="false"/>
          <w:color w:val="000000"/>
          <w:sz w:val="28"/>
        </w:rPr>
        <w:t xml:space="preserve"> к настоящим Правилам).</w:t>
      </w:r>
    </w:p>
    <w:bookmarkEnd w:id="43"/>
    <w:bookmarkStart w:name="z42" w:id="44"/>
    <w:p>
      <w:pPr>
        <w:spacing w:after="0"/>
        <w:ind w:left="0"/>
        <w:jc w:val="both"/>
      </w:pPr>
      <w:r>
        <w:rPr>
          <w:rFonts w:ascii="Times New Roman"/>
          <w:b w:val="false"/>
          <w:i w:val="false"/>
          <w:color w:val="000000"/>
          <w:sz w:val="28"/>
        </w:rPr>
        <w:t xml:space="preserve">
      17. Амортизация нематериальных активов относится на услуги по коэффициентам распределения, рассчитанным по Расчету коэффициента распределения затрат по нематериальным активам по форме согласно </w:t>
      </w:r>
      <w:r>
        <w:rPr>
          <w:rFonts w:ascii="Times New Roman"/>
          <w:b w:val="false"/>
          <w:i w:val="false"/>
          <w:color w:val="000000"/>
          <w:sz w:val="28"/>
        </w:rPr>
        <w:t xml:space="preserve"> приложению 4</w:t>
      </w:r>
      <w:r>
        <w:rPr>
          <w:rFonts w:ascii="Times New Roman"/>
          <w:b w:val="false"/>
          <w:i w:val="false"/>
          <w:color w:val="000000"/>
          <w:sz w:val="28"/>
        </w:rPr>
        <w:t xml:space="preserve"> к настоящим Правилам.</w:t>
      </w:r>
    </w:p>
    <w:bookmarkEnd w:id="44"/>
    <w:bookmarkStart w:name="z43" w:id="45"/>
    <w:p>
      <w:pPr>
        <w:spacing w:after="0"/>
        <w:ind w:left="0"/>
        <w:jc w:val="both"/>
      </w:pPr>
      <w:r>
        <w:rPr>
          <w:rFonts w:ascii="Times New Roman"/>
          <w:b w:val="false"/>
          <w:i w:val="false"/>
          <w:color w:val="000000"/>
          <w:sz w:val="28"/>
        </w:rPr>
        <w:t>
      18. Расходы на ремонт основных средств, не приводящие к росту стоимости основных средств, относятся на услуги согласно соответствующим коэффициентам распределения по группам основных средств, рассчитанным по Таблице распределения задействованных активов по видам услуг (</w:t>
      </w:r>
      <w:r>
        <w:rPr>
          <w:rFonts w:ascii="Times New Roman"/>
          <w:b w:val="false"/>
          <w:i w:val="false"/>
          <w:color w:val="000000"/>
          <w:sz w:val="28"/>
        </w:rPr>
        <w:t xml:space="preserve"> приложение 1</w:t>
      </w:r>
      <w:r>
        <w:rPr>
          <w:rFonts w:ascii="Times New Roman"/>
          <w:b w:val="false"/>
          <w:i w:val="false"/>
          <w:color w:val="000000"/>
          <w:sz w:val="28"/>
        </w:rPr>
        <w:t xml:space="preserve"> к настоящим Правилам).</w:t>
      </w:r>
    </w:p>
    <w:bookmarkEnd w:id="45"/>
    <w:bookmarkStart w:name="z44" w:id="46"/>
    <w:p>
      <w:pPr>
        <w:spacing w:after="0"/>
        <w:ind w:left="0"/>
        <w:jc w:val="both"/>
      </w:pPr>
      <w:r>
        <w:rPr>
          <w:rFonts w:ascii="Times New Roman"/>
          <w:b w:val="false"/>
          <w:i w:val="false"/>
          <w:color w:val="000000"/>
          <w:sz w:val="28"/>
        </w:rPr>
        <w:t>
      19. Расходы на оплату труда могут быть как прямыми, так и косвенными, совместными и общими. Для целей раздельного учета затрат персонал группируется по следующим признакам:</w:t>
      </w:r>
    </w:p>
    <w:bookmarkEnd w:id="46"/>
    <w:p>
      <w:pPr>
        <w:spacing w:after="0"/>
        <w:ind w:left="0"/>
        <w:jc w:val="both"/>
      </w:pPr>
      <w:r>
        <w:rPr>
          <w:rFonts w:ascii="Times New Roman"/>
          <w:b w:val="false"/>
          <w:i w:val="false"/>
          <w:color w:val="000000"/>
          <w:sz w:val="28"/>
        </w:rPr>
        <w:t>
      1) персонал, деятельность которого связана с оказанием одной определенной услуги;</w:t>
      </w:r>
    </w:p>
    <w:p>
      <w:pPr>
        <w:spacing w:after="0"/>
        <w:ind w:left="0"/>
        <w:jc w:val="both"/>
      </w:pPr>
      <w:r>
        <w:rPr>
          <w:rFonts w:ascii="Times New Roman"/>
          <w:b w:val="false"/>
          <w:i w:val="false"/>
          <w:color w:val="000000"/>
          <w:sz w:val="28"/>
        </w:rPr>
        <w:t>
      2) персонал, деятельность которого связана с оказанием двух и более услуг.</w:t>
      </w:r>
    </w:p>
    <w:p>
      <w:pPr>
        <w:spacing w:after="0"/>
        <w:ind w:left="0"/>
        <w:jc w:val="both"/>
      </w:pPr>
      <w:r>
        <w:rPr>
          <w:rFonts w:ascii="Times New Roman"/>
          <w:b w:val="false"/>
          <w:i w:val="false"/>
          <w:color w:val="000000"/>
          <w:sz w:val="28"/>
        </w:rPr>
        <w:t>
      Расходы по оплате труда персонала, связанного с оказанием одной услуги, являются прямыми и полностью относятся на одну услугу.</w:t>
      </w:r>
    </w:p>
    <w:p>
      <w:pPr>
        <w:spacing w:after="0"/>
        <w:ind w:left="0"/>
        <w:jc w:val="both"/>
      </w:pPr>
      <w:r>
        <w:rPr>
          <w:rFonts w:ascii="Times New Roman"/>
          <w:b w:val="false"/>
          <w:i w:val="false"/>
          <w:color w:val="000000"/>
          <w:sz w:val="28"/>
        </w:rPr>
        <w:t>
      Расходы по оплате труда персонала, связанного с оказанием двух и более услуг, являются косвенными, совместными или общими, и распределяются на услуги с использованием базы распределения и коэффициента распределения.</w:t>
      </w:r>
    </w:p>
    <w:bookmarkStart w:name="z45" w:id="47"/>
    <w:p>
      <w:pPr>
        <w:spacing w:after="0"/>
        <w:ind w:left="0"/>
        <w:jc w:val="both"/>
      </w:pPr>
      <w:r>
        <w:rPr>
          <w:rFonts w:ascii="Times New Roman"/>
          <w:b w:val="false"/>
          <w:i w:val="false"/>
          <w:color w:val="000000"/>
          <w:sz w:val="28"/>
        </w:rPr>
        <w:t>
      20. Производственный персонал по отношению к технологическому процессу подразделяется на группы:</w:t>
      </w:r>
    </w:p>
    <w:bookmarkEnd w:id="47"/>
    <w:p>
      <w:pPr>
        <w:spacing w:after="0"/>
        <w:ind w:left="0"/>
        <w:jc w:val="both"/>
      </w:pPr>
      <w:r>
        <w:rPr>
          <w:rFonts w:ascii="Times New Roman"/>
          <w:b w:val="false"/>
          <w:i w:val="false"/>
          <w:color w:val="000000"/>
          <w:sz w:val="28"/>
        </w:rPr>
        <w:t>
      персонал, занятый в основной и не основной деятельности;</w:t>
      </w:r>
    </w:p>
    <w:p>
      <w:pPr>
        <w:spacing w:after="0"/>
        <w:ind w:left="0"/>
        <w:jc w:val="both"/>
      </w:pPr>
      <w:r>
        <w:rPr>
          <w:rFonts w:ascii="Times New Roman"/>
          <w:b w:val="false"/>
          <w:i w:val="false"/>
          <w:color w:val="000000"/>
          <w:sz w:val="28"/>
        </w:rPr>
        <w:t>
      вспомогательный персонал;</w:t>
      </w:r>
    </w:p>
    <w:p>
      <w:pPr>
        <w:spacing w:after="0"/>
        <w:ind w:left="0"/>
        <w:jc w:val="both"/>
      </w:pPr>
      <w:r>
        <w:rPr>
          <w:rFonts w:ascii="Times New Roman"/>
          <w:b w:val="false"/>
          <w:i w:val="false"/>
          <w:color w:val="000000"/>
          <w:sz w:val="28"/>
        </w:rPr>
        <w:t>
      прочий персонал.</w:t>
      </w:r>
    </w:p>
    <w:p>
      <w:pPr>
        <w:spacing w:after="0"/>
        <w:ind w:left="0"/>
        <w:jc w:val="both"/>
      </w:pPr>
      <w:r>
        <w:rPr>
          <w:rFonts w:ascii="Times New Roman"/>
          <w:b w:val="false"/>
          <w:i w:val="false"/>
          <w:color w:val="000000"/>
          <w:sz w:val="28"/>
        </w:rPr>
        <w:t>
      В каждой группе персонала расходы по оплате труда прямо относятся на конкретную услугу, если работа персонала непосредственно связана только с одной услугой.</w:t>
      </w:r>
    </w:p>
    <w:p>
      <w:pPr>
        <w:spacing w:after="0"/>
        <w:ind w:left="0"/>
        <w:jc w:val="both"/>
      </w:pPr>
      <w:r>
        <w:rPr>
          <w:rFonts w:ascii="Times New Roman"/>
          <w:b w:val="false"/>
          <w:i w:val="false"/>
          <w:color w:val="000000"/>
          <w:sz w:val="28"/>
        </w:rPr>
        <w:t>
      Если в данной группе имеется персонал, работа которого связана с оказанием двух и более услуг, то расходы по оплате труда распределяются между услугами с использованием базы распределения.</w:t>
      </w:r>
    </w:p>
    <w:p>
      <w:pPr>
        <w:spacing w:after="0"/>
        <w:ind w:left="0"/>
        <w:jc w:val="both"/>
      </w:pPr>
      <w:r>
        <w:rPr>
          <w:rFonts w:ascii="Times New Roman"/>
          <w:b w:val="false"/>
          <w:i w:val="false"/>
          <w:color w:val="000000"/>
          <w:sz w:val="28"/>
        </w:rPr>
        <w:t xml:space="preserve">
      Расходы на оплату труда относятся на услуги по коэффициентам распределения, рассчитанным по Расчету коэффициента распределения расходов на оплату труда персонала по форме согласно </w:t>
      </w:r>
      <w:r>
        <w:rPr>
          <w:rFonts w:ascii="Times New Roman"/>
          <w:b w:val="false"/>
          <w:i w:val="false"/>
          <w:color w:val="000000"/>
          <w:sz w:val="28"/>
        </w:rPr>
        <w:t xml:space="preserve"> приложению 5</w:t>
      </w:r>
      <w:r>
        <w:rPr>
          <w:rFonts w:ascii="Times New Roman"/>
          <w:b w:val="false"/>
          <w:i w:val="false"/>
          <w:color w:val="000000"/>
          <w:sz w:val="28"/>
        </w:rPr>
        <w:t xml:space="preserve"> к настоящим Правилам для соответствующей группы персонала.</w:t>
      </w:r>
    </w:p>
    <w:bookmarkStart w:name="z46" w:id="48"/>
    <w:p>
      <w:pPr>
        <w:spacing w:after="0"/>
        <w:ind w:left="0"/>
        <w:jc w:val="both"/>
      </w:pPr>
      <w:r>
        <w:rPr>
          <w:rFonts w:ascii="Times New Roman"/>
          <w:b w:val="false"/>
          <w:i w:val="false"/>
          <w:color w:val="000000"/>
          <w:sz w:val="28"/>
        </w:rPr>
        <w:t>
      21. Расходы по социальному налогу распределяются на услуги по тем же коэффициентам распределения, что и расходы на оплату труда в соответствующей группе персонала.</w:t>
      </w:r>
    </w:p>
    <w:bookmarkEnd w:id="48"/>
    <w:bookmarkStart w:name="z47" w:id="49"/>
    <w:p>
      <w:pPr>
        <w:spacing w:after="0"/>
        <w:ind w:left="0"/>
        <w:jc w:val="both"/>
      </w:pPr>
      <w:r>
        <w:rPr>
          <w:rFonts w:ascii="Times New Roman"/>
          <w:b w:val="false"/>
          <w:i w:val="false"/>
          <w:color w:val="000000"/>
          <w:sz w:val="28"/>
        </w:rPr>
        <w:t>
      22. Расходы на эксплуатацию основных средств относятся на услуги с использованием коэффициента распределения соответствующих групп основных средств по Таблице распределения задействованных активов по видам услуг (</w:t>
      </w:r>
      <w:r>
        <w:rPr>
          <w:rFonts w:ascii="Times New Roman"/>
          <w:b w:val="false"/>
          <w:i w:val="false"/>
          <w:color w:val="000000"/>
          <w:sz w:val="28"/>
        </w:rPr>
        <w:t xml:space="preserve"> приложение 1</w:t>
      </w:r>
      <w:r>
        <w:rPr>
          <w:rFonts w:ascii="Times New Roman"/>
          <w:b w:val="false"/>
          <w:i w:val="false"/>
          <w:color w:val="000000"/>
          <w:sz w:val="28"/>
        </w:rPr>
        <w:t xml:space="preserve"> к настоящим Правилам). При распределении расходов на эксплуатацию на услуги принимается во внимание следующее:</w:t>
      </w:r>
    </w:p>
    <w:bookmarkEnd w:id="49"/>
    <w:p>
      <w:pPr>
        <w:spacing w:after="0"/>
        <w:ind w:left="0"/>
        <w:jc w:val="both"/>
      </w:pPr>
      <w:r>
        <w:rPr>
          <w:rFonts w:ascii="Times New Roman"/>
          <w:b w:val="false"/>
          <w:i w:val="false"/>
          <w:color w:val="000000"/>
          <w:sz w:val="28"/>
        </w:rPr>
        <w:t>
      1) затраты на материалы на обслуживание основных средств распределяются на услуги по принципу распределения на услуги соответствующих основных средств;</w:t>
      </w:r>
    </w:p>
    <w:p>
      <w:pPr>
        <w:spacing w:after="0"/>
        <w:ind w:left="0"/>
        <w:jc w:val="both"/>
      </w:pPr>
      <w:r>
        <w:rPr>
          <w:rFonts w:ascii="Times New Roman"/>
          <w:b w:val="false"/>
          <w:i w:val="false"/>
          <w:color w:val="000000"/>
          <w:sz w:val="28"/>
        </w:rPr>
        <w:t>
      2) затраты на топливо связаны непосредственно с отоплением подстанций, поэтому они относятся на услуги по коэффициенту распределения на услуги основных средств подстанций;</w:t>
      </w:r>
    </w:p>
    <w:p>
      <w:pPr>
        <w:spacing w:after="0"/>
        <w:ind w:left="0"/>
        <w:jc w:val="both"/>
      </w:pPr>
      <w:r>
        <w:rPr>
          <w:rFonts w:ascii="Times New Roman"/>
          <w:b w:val="false"/>
          <w:i w:val="false"/>
          <w:color w:val="000000"/>
          <w:sz w:val="28"/>
        </w:rPr>
        <w:t>
      3) затраты на горюче-смазочные материалы (ГСМ) распределяются на услуги по коэффициенту распределения на услуги транспорта и спецтехники (</w:t>
      </w:r>
      <w:r>
        <w:rPr>
          <w:rFonts w:ascii="Times New Roman"/>
          <w:b w:val="false"/>
          <w:i w:val="false"/>
          <w:color w:val="000000"/>
          <w:sz w:val="28"/>
        </w:rPr>
        <w:t xml:space="preserve"> приложение 1</w:t>
      </w:r>
      <w:r>
        <w:rPr>
          <w:rFonts w:ascii="Times New Roman"/>
          <w:b w:val="false"/>
          <w:i w:val="false"/>
          <w:color w:val="000000"/>
          <w:sz w:val="28"/>
        </w:rPr>
        <w:t xml:space="preserve"> к настоящим Правилам), с которыми эти затраты связаны;</w:t>
      </w:r>
    </w:p>
    <w:p>
      <w:pPr>
        <w:spacing w:after="0"/>
        <w:ind w:left="0"/>
        <w:jc w:val="both"/>
      </w:pPr>
      <w:r>
        <w:rPr>
          <w:rFonts w:ascii="Times New Roman"/>
          <w:b w:val="false"/>
          <w:i w:val="false"/>
          <w:color w:val="000000"/>
          <w:sz w:val="28"/>
        </w:rPr>
        <w:t>
      4) услуги (аренда) автотранспорта, аренда основных средств, услуги связи относятся на услуги прямо, если они связаны с оказанием только одной услуги. Если данные услуги связаны с оказанием двух и более услуг, то они распределяются по принятой базе распределения затрат;</w:t>
      </w:r>
    </w:p>
    <w:p>
      <w:pPr>
        <w:spacing w:after="0"/>
        <w:ind w:left="0"/>
        <w:jc w:val="both"/>
      </w:pPr>
      <w:r>
        <w:rPr>
          <w:rFonts w:ascii="Times New Roman"/>
          <w:b w:val="false"/>
          <w:i w:val="false"/>
          <w:color w:val="000000"/>
          <w:sz w:val="28"/>
        </w:rPr>
        <w:t>
      5) расходы на электроэнергию на хозяйственные нужды, отопление, горячее водоснабжение, холодное водоснабжение, водоотведение и прочие коммунальные услуги для основного и вспомогательного производства относятся на услуги прямо в случае, если они непосредственно связаны с оказанием одной услуги, или по коэффициенту распределения на услуги, рассчитанному для соответствующих зданий и сооружений в случае, если они связаны с оказанием двух и более услуг;</w:t>
      </w:r>
    </w:p>
    <w:p>
      <w:pPr>
        <w:spacing w:after="0"/>
        <w:ind w:left="0"/>
        <w:jc w:val="both"/>
      </w:pPr>
      <w:r>
        <w:rPr>
          <w:rFonts w:ascii="Times New Roman"/>
          <w:b w:val="false"/>
          <w:i w:val="false"/>
          <w:color w:val="000000"/>
          <w:sz w:val="28"/>
        </w:rPr>
        <w:t>
      6) расходы на обучение персонала, командировочные расходы, расходы на охрану труда относятся на услуги по тем же принципам, что и оплата труда соответствующих групп персонала;</w:t>
      </w:r>
    </w:p>
    <w:p>
      <w:pPr>
        <w:spacing w:after="0"/>
        <w:ind w:left="0"/>
        <w:jc w:val="both"/>
      </w:pPr>
      <w:r>
        <w:rPr>
          <w:rFonts w:ascii="Times New Roman"/>
          <w:b w:val="false"/>
          <w:i w:val="false"/>
          <w:color w:val="000000"/>
          <w:sz w:val="28"/>
        </w:rPr>
        <w:t>
      7) расходы на пожарную и сторожевую охрану относятся на услуги аналогично распределению износа соответствующих основных средств;</w:t>
      </w:r>
    </w:p>
    <w:p>
      <w:pPr>
        <w:spacing w:after="0"/>
        <w:ind w:left="0"/>
        <w:jc w:val="both"/>
      </w:pPr>
      <w:r>
        <w:rPr>
          <w:rFonts w:ascii="Times New Roman"/>
          <w:b w:val="false"/>
          <w:i w:val="false"/>
          <w:color w:val="000000"/>
          <w:sz w:val="28"/>
        </w:rPr>
        <w:t>
      8) расходы на прочие эксплуатационные затраты относятся на услуги по базе распределения.</w:t>
      </w:r>
    </w:p>
    <w:bookmarkStart w:name="z48" w:id="50"/>
    <w:p>
      <w:pPr>
        <w:spacing w:after="0"/>
        <w:ind w:left="0"/>
        <w:jc w:val="both"/>
      </w:pPr>
      <w:r>
        <w:rPr>
          <w:rFonts w:ascii="Times New Roman"/>
          <w:b w:val="false"/>
          <w:i w:val="false"/>
          <w:color w:val="000000"/>
          <w:sz w:val="28"/>
        </w:rPr>
        <w:t>
      23. Распределение расходов периода осуществляется в следующем порядке:</w:t>
      </w:r>
    </w:p>
    <w:bookmarkEnd w:id="50"/>
    <w:p>
      <w:pPr>
        <w:spacing w:after="0"/>
        <w:ind w:left="0"/>
        <w:jc w:val="both"/>
      </w:pPr>
      <w:r>
        <w:rPr>
          <w:rFonts w:ascii="Times New Roman"/>
          <w:b w:val="false"/>
          <w:i w:val="false"/>
          <w:color w:val="000000"/>
          <w:sz w:val="28"/>
        </w:rPr>
        <w:t>
      1) общие и административные расходы распределяются на услуги по тем же принципам, что и соответствующие затраты основного производства;</w:t>
      </w:r>
    </w:p>
    <w:p>
      <w:pPr>
        <w:spacing w:after="0"/>
        <w:ind w:left="0"/>
        <w:jc w:val="both"/>
      </w:pPr>
      <w:r>
        <w:rPr>
          <w:rFonts w:ascii="Times New Roman"/>
          <w:b w:val="false"/>
          <w:i w:val="false"/>
          <w:color w:val="000000"/>
          <w:sz w:val="28"/>
        </w:rPr>
        <w:t>
      2) расходы по реализации относятся прямо на услуги, если они непосредственно связаны с оказанием определенной услуги. Если данные расходы связаны с оказанием двух и более услуг, то они распределяются на услуги с использованием базы распределения;</w:t>
      </w:r>
    </w:p>
    <w:p>
      <w:pPr>
        <w:spacing w:after="0"/>
        <w:ind w:left="0"/>
        <w:jc w:val="both"/>
      </w:pPr>
      <w:r>
        <w:rPr>
          <w:rFonts w:ascii="Times New Roman"/>
          <w:b w:val="false"/>
          <w:i w:val="false"/>
          <w:color w:val="000000"/>
          <w:sz w:val="28"/>
        </w:rPr>
        <w:t>
      3) расходы по вознаграждениям (процентам) относятся на услуги прямо, если они непосредственно связаны с оказанием определенной услуги. Если данные расходы связаны с оказанием двух и более услуг, то они распределяются на услуги с использованием базы распределения.</w:t>
      </w:r>
    </w:p>
    <w:p>
      <w:pPr>
        <w:spacing w:after="0"/>
        <w:ind w:left="0"/>
        <w:jc w:val="both"/>
      </w:pPr>
      <w:r>
        <w:rPr>
          <w:rFonts w:ascii="Times New Roman"/>
          <w:b w:val="false"/>
          <w:i w:val="false"/>
          <w:color w:val="000000"/>
          <w:sz w:val="28"/>
        </w:rPr>
        <w:t xml:space="preserve">
      Расходы по реализации и расходы по вознаграждениям относятся на услуги по коэффициентам распределения, рассчитанным по форме </w:t>
      </w:r>
      <w:r>
        <w:rPr>
          <w:rFonts w:ascii="Times New Roman"/>
          <w:b w:val="false"/>
          <w:i w:val="false"/>
          <w:color w:val="000000"/>
          <w:sz w:val="28"/>
        </w:rPr>
        <w:t xml:space="preserve"> приложения 6</w:t>
      </w:r>
      <w:r>
        <w:rPr>
          <w:rFonts w:ascii="Times New Roman"/>
          <w:b w:val="false"/>
          <w:i w:val="false"/>
          <w:color w:val="000000"/>
          <w:sz w:val="28"/>
        </w:rPr>
        <w:t xml:space="preserve"> к настоящим Правилам.</w:t>
      </w:r>
    </w:p>
    <w:bookmarkStart w:name="z49" w:id="51"/>
    <w:p>
      <w:pPr>
        <w:spacing w:after="0"/>
        <w:ind w:left="0"/>
        <w:jc w:val="both"/>
      </w:pPr>
      <w:r>
        <w:rPr>
          <w:rFonts w:ascii="Times New Roman"/>
          <w:b w:val="false"/>
          <w:i w:val="false"/>
          <w:color w:val="000000"/>
          <w:sz w:val="28"/>
        </w:rPr>
        <w:t>
      24. Прочие расходы относятся на услуги прямо, если они непосредственно связаны с оказанием определенной услуги. Если данные расходы связаны с оказанием двух и более услуг, то они распределяются на услуги с использованием базы распределения.</w:t>
      </w:r>
    </w:p>
    <w:bookmarkEnd w:id="51"/>
    <w:bookmarkStart w:name="z50" w:id="52"/>
    <w:p>
      <w:pPr>
        <w:spacing w:after="0"/>
        <w:ind w:left="0"/>
        <w:jc w:val="both"/>
      </w:pPr>
      <w:r>
        <w:rPr>
          <w:rFonts w:ascii="Times New Roman"/>
          <w:b w:val="false"/>
          <w:i w:val="false"/>
          <w:color w:val="000000"/>
          <w:sz w:val="28"/>
        </w:rPr>
        <w:t>
      25. Сведения о ведении раздельного учета доходов, затрат и задействованных активов (далее - сведения) представляется субъектом в уполномоченный орган до 1 июня текущего года за предыдущий календарный год, согласно приложениям к настоящим Правилам.</w:t>
      </w:r>
    </w:p>
    <w:bookmarkEnd w:id="52"/>
    <w:bookmarkStart w:name="z51" w:id="53"/>
    <w:p>
      <w:pPr>
        <w:spacing w:after="0"/>
        <w:ind w:left="0"/>
        <w:jc w:val="both"/>
      </w:pPr>
      <w:r>
        <w:rPr>
          <w:rFonts w:ascii="Times New Roman"/>
          <w:b w:val="false"/>
          <w:i w:val="false"/>
          <w:color w:val="000000"/>
          <w:sz w:val="28"/>
        </w:rPr>
        <w:t>
      26. Итоговая сумма доходов в отчете об итоговом распределении доходов и затрат по видам услуг (</w:t>
      </w:r>
      <w:r>
        <w:rPr>
          <w:rFonts w:ascii="Times New Roman"/>
          <w:b w:val="false"/>
          <w:i w:val="false"/>
          <w:color w:val="000000"/>
          <w:sz w:val="28"/>
        </w:rPr>
        <w:t xml:space="preserve"> приложение 3</w:t>
      </w:r>
      <w:r>
        <w:rPr>
          <w:rFonts w:ascii="Times New Roman"/>
          <w:b w:val="false"/>
          <w:i w:val="false"/>
          <w:color w:val="000000"/>
          <w:sz w:val="28"/>
        </w:rPr>
        <w:t xml:space="preserve"> к настоящим Правилам) должна соответствовать данным, отраженным по строке "Доход от реализации товаров, работ и услуг"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bookmarkEnd w:id="53"/>
    <w:bookmarkStart w:name="z52" w:id="54"/>
    <w:p>
      <w:pPr>
        <w:spacing w:after="0"/>
        <w:ind w:left="0"/>
        <w:jc w:val="both"/>
      </w:pPr>
      <w:r>
        <w:rPr>
          <w:rFonts w:ascii="Times New Roman"/>
          <w:b w:val="false"/>
          <w:i w:val="false"/>
          <w:color w:val="000000"/>
          <w:sz w:val="28"/>
        </w:rPr>
        <w:t>
      27. Итоговая сумма расходов в отчете об итоговом распределении доходов и затрат по видам услуг (</w:t>
      </w:r>
      <w:r>
        <w:rPr>
          <w:rFonts w:ascii="Times New Roman"/>
          <w:b w:val="false"/>
          <w:i w:val="false"/>
          <w:color w:val="000000"/>
          <w:sz w:val="28"/>
        </w:rPr>
        <w:t xml:space="preserve"> приложение 3</w:t>
      </w:r>
      <w:r>
        <w:rPr>
          <w:rFonts w:ascii="Times New Roman"/>
          <w:b w:val="false"/>
          <w:i w:val="false"/>
          <w:color w:val="000000"/>
          <w:sz w:val="28"/>
        </w:rPr>
        <w:t xml:space="preserve"> к настоящим Правилам) за минусом расходов периода должна соответствовать данным, отраженным по строке "Себестоимость реализованных товаров (работ, услуг)"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bookmarkEnd w:id="54"/>
    <w:bookmarkStart w:name="z53" w:id="55"/>
    <w:p>
      <w:pPr>
        <w:spacing w:after="0"/>
        <w:ind w:left="0"/>
        <w:jc w:val="both"/>
      </w:pPr>
      <w:r>
        <w:rPr>
          <w:rFonts w:ascii="Times New Roman"/>
          <w:b w:val="false"/>
          <w:i w:val="false"/>
          <w:color w:val="000000"/>
          <w:sz w:val="28"/>
        </w:rPr>
        <w:t>
      28. Итоговая сумма расходов периода в отчете об итоговом распределении доходов и затрат по видам услуг (</w:t>
      </w:r>
      <w:r>
        <w:rPr>
          <w:rFonts w:ascii="Times New Roman"/>
          <w:b w:val="false"/>
          <w:i w:val="false"/>
          <w:color w:val="000000"/>
          <w:sz w:val="28"/>
        </w:rPr>
        <w:t xml:space="preserve"> приложение 3</w:t>
      </w:r>
      <w:r>
        <w:rPr>
          <w:rFonts w:ascii="Times New Roman"/>
          <w:b w:val="false"/>
          <w:i w:val="false"/>
          <w:color w:val="000000"/>
          <w:sz w:val="28"/>
        </w:rPr>
        <w:t xml:space="preserve"> к настоящим Правилам) должна соответствовать данным, отраженным по строке "Расходы периода"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bookmarkEnd w:id="55"/>
    <w:bookmarkStart w:name="z54" w:id="56"/>
    <w:p>
      <w:pPr>
        <w:spacing w:after="0"/>
        <w:ind w:left="0"/>
        <w:jc w:val="both"/>
      </w:pPr>
      <w:r>
        <w:rPr>
          <w:rFonts w:ascii="Times New Roman"/>
          <w:b w:val="false"/>
          <w:i w:val="false"/>
          <w:color w:val="000000"/>
          <w:sz w:val="28"/>
        </w:rPr>
        <w:t>
      29. Учетная (остаточная) стоимость основных средств и нематериальных активов должна соответствовать данным бухгалтерского учета на соответствующую дату.</w:t>
      </w:r>
    </w:p>
    <w:bookmarkEnd w:id="56"/>
    <w:bookmarkStart w:name="z55" w:id="57"/>
    <w:p>
      <w:pPr>
        <w:spacing w:after="0"/>
        <w:ind w:left="0"/>
        <w:jc w:val="both"/>
      </w:pPr>
      <w:r>
        <w:rPr>
          <w:rFonts w:ascii="Times New Roman"/>
          <w:b w:val="false"/>
          <w:i w:val="false"/>
          <w:color w:val="000000"/>
          <w:sz w:val="28"/>
        </w:rPr>
        <w:t>
      30. Сведения на бумажном носителе подписываются руководителем, главным бухгалтером, исполнителем субъекта и заверяется печатью. Сведения представляются в уполномоченный орган на электронном и бумажном носителе.</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раздельного учета доходов,</w:t>
            </w:r>
            <w:r>
              <w:br/>
            </w:r>
            <w:r>
              <w:rPr>
                <w:rFonts w:ascii="Times New Roman"/>
                <w:b w:val="false"/>
                <w:i w:val="false"/>
                <w:color w:val="000000"/>
                <w:sz w:val="20"/>
              </w:rPr>
              <w:t>затрат и задействованных активов субъектами</w:t>
            </w:r>
            <w:r>
              <w:br/>
            </w:r>
            <w:r>
              <w:rPr>
                <w:rFonts w:ascii="Times New Roman"/>
                <w:b w:val="false"/>
                <w:i w:val="false"/>
                <w:color w:val="000000"/>
                <w:sz w:val="20"/>
              </w:rPr>
              <w:t>естественной монополии, оказывающими услуги</w:t>
            </w:r>
            <w:r>
              <w:br/>
            </w:r>
            <w:r>
              <w:rPr>
                <w:rFonts w:ascii="Times New Roman"/>
                <w:b w:val="false"/>
                <w:i w:val="false"/>
                <w:color w:val="000000"/>
                <w:sz w:val="20"/>
              </w:rPr>
              <w:t>водоснабжения и (или) водоотведения</w:t>
            </w:r>
          </w:p>
        </w:tc>
      </w:tr>
    </w:tbl>
    <w:bookmarkStart w:name="z57" w:id="58"/>
    <w:p>
      <w:pPr>
        <w:spacing w:after="0"/>
        <w:ind w:left="0"/>
        <w:jc w:val="both"/>
      </w:pPr>
      <w:r>
        <w:rPr>
          <w:rFonts w:ascii="Times New Roman"/>
          <w:b w:val="false"/>
          <w:i w:val="false"/>
          <w:color w:val="000000"/>
          <w:sz w:val="28"/>
        </w:rPr>
        <w:t xml:space="preserve">
      форма            </w:t>
      </w:r>
    </w:p>
    <w:bookmarkEnd w:id="58"/>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Наименование предприятия</w:t>
      </w:r>
    </w:p>
    <w:bookmarkStart w:name="z58" w:id="59"/>
    <w:p>
      <w:pPr>
        <w:spacing w:after="0"/>
        <w:ind w:left="0"/>
        <w:jc w:val="both"/>
      </w:pPr>
      <w:r>
        <w:rPr>
          <w:rFonts w:ascii="Times New Roman"/>
          <w:b w:val="false"/>
          <w:i w:val="false"/>
          <w:color w:val="000000"/>
          <w:sz w:val="28"/>
        </w:rPr>
        <w:t>
                  Таблица распределения задействованных активов по видам</w:t>
      </w:r>
    </w:p>
    <w:bookmarkEnd w:id="59"/>
    <w:p>
      <w:pPr>
        <w:spacing w:after="0"/>
        <w:ind w:left="0"/>
        <w:jc w:val="both"/>
      </w:pPr>
      <w:r>
        <w:rPr>
          <w:rFonts w:ascii="Times New Roman"/>
          <w:b w:val="false"/>
          <w:i w:val="false"/>
          <w:color w:val="000000"/>
          <w:sz w:val="28"/>
        </w:rPr>
        <w:t>
                                услуг на __________год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1005"/>
        <w:gridCol w:w="1005"/>
        <w:gridCol w:w="944"/>
        <w:gridCol w:w="1362"/>
        <w:gridCol w:w="944"/>
        <w:gridCol w:w="1363"/>
        <w:gridCol w:w="944"/>
        <w:gridCol w:w="1363"/>
        <w:gridCol w:w="1003"/>
        <w:gridCol w:w="1721"/>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актива</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w:t>
            </w:r>
          </w:p>
          <w:p>
            <w:pPr>
              <w:spacing w:after="20"/>
              <w:ind w:left="20"/>
              <w:jc w:val="both"/>
            </w:pPr>
            <w:r>
              <w:rPr>
                <w:rFonts w:ascii="Times New Roman"/>
                <w:b w:val="false"/>
                <w:i w:val="false"/>
                <w:color w:val="000000"/>
                <w:sz w:val="20"/>
              </w:rPr>
              <w:t>
(остаточн.)</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тенге</w:t>
            </w:r>
          </w:p>
          <w:p>
            <w:pPr>
              <w:spacing w:after="20"/>
              <w:ind w:left="20"/>
              <w:jc w:val="both"/>
            </w:pPr>
            <w:r>
              <w:rPr>
                <w:rFonts w:ascii="Times New Roman"/>
                <w:b w:val="false"/>
                <w:i w:val="false"/>
                <w:color w:val="000000"/>
                <w:sz w:val="20"/>
              </w:rPr>
              <w:t>
из прил.2</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задейств.</w:t>
            </w:r>
          </w:p>
          <w:p>
            <w:pPr>
              <w:spacing w:after="20"/>
              <w:ind w:left="20"/>
              <w:jc w:val="both"/>
            </w:pPr>
            <w:r>
              <w:rPr>
                <w:rFonts w:ascii="Times New Roman"/>
                <w:b w:val="false"/>
                <w:i w:val="false"/>
                <w:color w:val="000000"/>
                <w:sz w:val="20"/>
              </w:rPr>
              <w:t>
активов,</w:t>
            </w:r>
          </w:p>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тенге</w:t>
            </w:r>
          </w:p>
          <w:p>
            <w:pPr>
              <w:spacing w:after="20"/>
              <w:ind w:left="20"/>
              <w:jc w:val="both"/>
            </w:pPr>
            <w:r>
              <w:rPr>
                <w:rFonts w:ascii="Times New Roman"/>
                <w:b w:val="false"/>
                <w:i w:val="false"/>
                <w:color w:val="000000"/>
                <w:sz w:val="20"/>
              </w:rPr>
              <w:t>
из прил.2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распре-</w:t>
            </w:r>
          </w:p>
          <w:p>
            <w:pPr>
              <w:spacing w:after="20"/>
              <w:ind w:left="20"/>
              <w:jc w:val="both"/>
            </w:pPr>
            <w:r>
              <w:rPr>
                <w:rFonts w:ascii="Times New Roman"/>
                <w:b w:val="false"/>
                <w:i w:val="false"/>
                <w:color w:val="000000"/>
                <w:sz w:val="20"/>
              </w:rPr>
              <w:t>
деле-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прил.2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актива,тенге</w:t>
            </w:r>
          </w:p>
          <w:p>
            <w:pPr>
              <w:spacing w:after="20"/>
              <w:ind w:left="20"/>
              <w:jc w:val="both"/>
            </w:pPr>
            <w:r>
              <w:rPr>
                <w:rFonts w:ascii="Times New Roman"/>
                <w:b w:val="false"/>
                <w:i w:val="false"/>
                <w:color w:val="000000"/>
                <w:sz w:val="20"/>
              </w:rPr>
              <w:t>
гр3*гр4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распре-</w:t>
            </w:r>
          </w:p>
          <w:p>
            <w:pPr>
              <w:spacing w:after="20"/>
              <w:ind w:left="20"/>
              <w:jc w:val="both"/>
            </w:pPr>
            <w:r>
              <w:rPr>
                <w:rFonts w:ascii="Times New Roman"/>
                <w:b w:val="false"/>
                <w:i w:val="false"/>
                <w:color w:val="000000"/>
                <w:sz w:val="20"/>
              </w:rPr>
              <w:t>
деле-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прил.2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актива,тенге</w:t>
            </w:r>
          </w:p>
          <w:p>
            <w:pPr>
              <w:spacing w:after="20"/>
              <w:ind w:left="20"/>
              <w:jc w:val="both"/>
            </w:pPr>
            <w:r>
              <w:rPr>
                <w:rFonts w:ascii="Times New Roman"/>
                <w:b w:val="false"/>
                <w:i w:val="false"/>
                <w:color w:val="000000"/>
                <w:sz w:val="20"/>
              </w:rPr>
              <w:t>
гр3*гр6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распре-</w:t>
            </w:r>
          </w:p>
          <w:p>
            <w:pPr>
              <w:spacing w:after="20"/>
              <w:ind w:left="20"/>
              <w:jc w:val="both"/>
            </w:pPr>
            <w:r>
              <w:rPr>
                <w:rFonts w:ascii="Times New Roman"/>
                <w:b w:val="false"/>
                <w:i w:val="false"/>
                <w:color w:val="000000"/>
                <w:sz w:val="20"/>
              </w:rPr>
              <w:t>
деле-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прил.2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актива,тенге</w:t>
            </w:r>
          </w:p>
          <w:p>
            <w:pPr>
              <w:spacing w:after="20"/>
              <w:ind w:left="20"/>
              <w:jc w:val="both"/>
            </w:pPr>
            <w:r>
              <w:rPr>
                <w:rFonts w:ascii="Times New Roman"/>
                <w:b w:val="false"/>
                <w:i w:val="false"/>
                <w:color w:val="000000"/>
                <w:sz w:val="20"/>
              </w:rPr>
              <w:t>
гр3*гр8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распре-</w:t>
            </w:r>
          </w:p>
          <w:p>
            <w:pPr>
              <w:spacing w:after="20"/>
              <w:ind w:left="20"/>
              <w:jc w:val="both"/>
            </w:pPr>
            <w:r>
              <w:rPr>
                <w:rFonts w:ascii="Times New Roman"/>
                <w:b w:val="false"/>
                <w:i w:val="false"/>
                <w:color w:val="000000"/>
                <w:sz w:val="20"/>
              </w:rPr>
              <w:t>
деле-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
прил.2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w:t>
            </w:r>
          </w:p>
          <w:p>
            <w:pPr>
              <w:spacing w:after="20"/>
              <w:ind w:left="20"/>
              <w:jc w:val="both"/>
            </w:pPr>
            <w:r>
              <w:rPr>
                <w:rFonts w:ascii="Times New Roman"/>
                <w:b w:val="false"/>
                <w:i w:val="false"/>
                <w:color w:val="000000"/>
                <w:sz w:val="20"/>
              </w:rPr>
              <w:t>
сть</w:t>
            </w:r>
          </w:p>
          <w:p>
            <w:pPr>
              <w:spacing w:after="20"/>
              <w:ind w:left="20"/>
              <w:jc w:val="both"/>
            </w:pPr>
            <w:r>
              <w:rPr>
                <w:rFonts w:ascii="Times New Roman"/>
                <w:b w:val="false"/>
                <w:i w:val="false"/>
                <w:color w:val="000000"/>
                <w:sz w:val="20"/>
              </w:rPr>
              <w:t>
актива,</w:t>
            </w:r>
          </w:p>
          <w:p>
            <w:pPr>
              <w:spacing w:after="20"/>
              <w:ind w:left="20"/>
              <w:jc w:val="both"/>
            </w:pPr>
            <w:r>
              <w:rPr>
                <w:rFonts w:ascii="Times New Roman"/>
                <w:b w:val="false"/>
                <w:i w:val="false"/>
                <w:color w:val="000000"/>
                <w:sz w:val="20"/>
              </w:rPr>
              <w:t>
тенге</w:t>
            </w:r>
          </w:p>
          <w:p>
            <w:pPr>
              <w:spacing w:after="20"/>
              <w:ind w:left="20"/>
              <w:jc w:val="both"/>
            </w:pPr>
            <w:r>
              <w:rPr>
                <w:rFonts w:ascii="Times New Roman"/>
                <w:b w:val="false"/>
                <w:i w:val="false"/>
                <w:color w:val="000000"/>
                <w:sz w:val="20"/>
              </w:rPr>
              <w:t>
гр3*гр10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Руководитель ________________________ 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Главный бухгалтер __________________ 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Исполнитель  ________________________ _________________</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раздельного учета доходов,</w:t>
            </w:r>
            <w:r>
              <w:br/>
            </w:r>
            <w:r>
              <w:rPr>
                <w:rFonts w:ascii="Times New Roman"/>
                <w:b w:val="false"/>
                <w:i w:val="false"/>
                <w:color w:val="000000"/>
                <w:sz w:val="20"/>
              </w:rPr>
              <w:t>затрат и задействованных активов субъектами</w:t>
            </w:r>
            <w:r>
              <w:br/>
            </w:r>
            <w:r>
              <w:rPr>
                <w:rFonts w:ascii="Times New Roman"/>
                <w:b w:val="false"/>
                <w:i w:val="false"/>
                <w:color w:val="000000"/>
                <w:sz w:val="20"/>
              </w:rPr>
              <w:t>естественной монополии, оказывающими услуги</w:t>
            </w:r>
            <w:r>
              <w:br/>
            </w:r>
            <w:r>
              <w:rPr>
                <w:rFonts w:ascii="Times New Roman"/>
                <w:b w:val="false"/>
                <w:i w:val="false"/>
                <w:color w:val="000000"/>
                <w:sz w:val="20"/>
              </w:rPr>
              <w:t>водоснабжения и (или) водоотведения</w:t>
            </w:r>
          </w:p>
        </w:tc>
      </w:tr>
    </w:tbl>
    <w:bookmarkStart w:name="z60" w:id="60"/>
    <w:p>
      <w:pPr>
        <w:spacing w:after="0"/>
        <w:ind w:left="0"/>
        <w:jc w:val="both"/>
      </w:pPr>
      <w:r>
        <w:rPr>
          <w:rFonts w:ascii="Times New Roman"/>
          <w:b w:val="false"/>
          <w:i w:val="false"/>
          <w:color w:val="000000"/>
          <w:sz w:val="28"/>
        </w:rPr>
        <w:t xml:space="preserve">
      форма            </w:t>
      </w:r>
    </w:p>
    <w:bookmarkEnd w:id="60"/>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Наименование предприятия</w:t>
      </w:r>
    </w:p>
    <w:bookmarkStart w:name="z61" w:id="61"/>
    <w:p>
      <w:pPr>
        <w:spacing w:after="0"/>
        <w:ind w:left="0"/>
        <w:jc w:val="both"/>
      </w:pPr>
      <w:r>
        <w:rPr>
          <w:rFonts w:ascii="Times New Roman"/>
          <w:b w:val="false"/>
          <w:i w:val="false"/>
          <w:color w:val="000000"/>
          <w:sz w:val="28"/>
        </w:rPr>
        <w:t>
             Расчет коэффициента распределения активов и затрат по группе</w:t>
      </w:r>
    </w:p>
    <w:bookmarkEnd w:id="61"/>
    <w:p>
      <w:pPr>
        <w:spacing w:after="0"/>
        <w:ind w:left="0"/>
        <w:jc w:val="both"/>
      </w:pPr>
      <w:r>
        <w:rPr>
          <w:rFonts w:ascii="Times New Roman"/>
          <w:b w:val="false"/>
          <w:i w:val="false"/>
          <w:color w:val="000000"/>
          <w:sz w:val="28"/>
        </w:rPr>
        <w:t>
                         _________________________ на _________год</w:t>
      </w:r>
    </w:p>
    <w:p>
      <w:pPr>
        <w:spacing w:after="0"/>
        <w:ind w:left="0"/>
        <w:jc w:val="both"/>
      </w:pPr>
      <w:r>
        <w:rPr>
          <w:rFonts w:ascii="Times New Roman"/>
          <w:b w:val="false"/>
          <w:i w:val="false"/>
          <w:color w:val="000000"/>
          <w:sz w:val="28"/>
        </w:rPr>
        <w:t>
                         (наименование группы основных средств)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1097"/>
        <w:gridCol w:w="1970"/>
        <w:gridCol w:w="2448"/>
        <w:gridCol w:w="2287"/>
        <w:gridCol w:w="1176"/>
        <w:gridCol w:w="1415"/>
        <w:gridCol w:w="381"/>
        <w:gridCol w:w="381"/>
        <w:gridCol w:w="382"/>
        <w:gridCol w:w="382"/>
      </w:tblGrid>
      <w:tr>
        <w:trPr>
          <w:trHeight w:val="30" w:hRule="atLeast"/>
        </w:trPr>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актива</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или затрат</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состоя-</w:t>
            </w:r>
          </w:p>
          <w:p>
            <w:pPr>
              <w:spacing w:after="20"/>
              <w:ind w:left="20"/>
              <w:jc w:val="both"/>
            </w:pPr>
            <w:r>
              <w:rPr>
                <w:rFonts w:ascii="Times New Roman"/>
                <w:b w:val="false"/>
                <w:i w:val="false"/>
                <w:color w:val="000000"/>
                <w:sz w:val="20"/>
              </w:rPr>
              <w:t>
ние (работает или в резерве)</w:t>
            </w:r>
          </w:p>
        </w:tc>
        <w:tc>
          <w:tcPr>
            <w:tcW w:w="2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 стоимость актива, тенге</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 стоимость задействован-</w:t>
            </w:r>
          </w:p>
          <w:p>
            <w:pPr>
              <w:spacing w:after="20"/>
              <w:ind w:left="20"/>
              <w:jc w:val="both"/>
            </w:pPr>
            <w:r>
              <w:rPr>
                <w:rFonts w:ascii="Times New Roman"/>
                <w:b w:val="false"/>
                <w:i w:val="false"/>
                <w:color w:val="000000"/>
                <w:sz w:val="20"/>
              </w:rPr>
              <w:t>
ного актива, тенге</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w:t>
            </w:r>
          </w:p>
          <w:p>
            <w:pPr>
              <w:spacing w:after="20"/>
              <w:ind w:left="20"/>
              <w:jc w:val="both"/>
            </w:pPr>
            <w:r>
              <w:rPr>
                <w:rFonts w:ascii="Times New Roman"/>
                <w:b w:val="false"/>
                <w:i w:val="false"/>
                <w:color w:val="000000"/>
                <w:sz w:val="20"/>
              </w:rPr>
              <w:t>
деления</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коэффиц. распре-</w:t>
            </w:r>
          </w:p>
          <w:p>
            <w:pPr>
              <w:spacing w:after="20"/>
              <w:ind w:left="20"/>
              <w:jc w:val="both"/>
            </w:pPr>
            <w:r>
              <w:rPr>
                <w:rFonts w:ascii="Times New Roman"/>
                <w:b w:val="false"/>
                <w:i w:val="false"/>
                <w:color w:val="000000"/>
                <w:sz w:val="20"/>
              </w:rPr>
              <w:t>
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Руководитель ________________________ 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Главный бухгалтер __________________ 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Исполнитель  ________________________ 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"____"_____________________г.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 задействованных</w:t>
            </w:r>
            <w:r>
              <w:br/>
            </w:r>
            <w:r>
              <w:rPr>
                <w:rFonts w:ascii="Times New Roman"/>
                <w:b w:val="false"/>
                <w:i w:val="false"/>
                <w:color w:val="000000"/>
                <w:sz w:val="20"/>
              </w:rPr>
              <w:t>активов субъектами естественной монополии,</w:t>
            </w:r>
            <w:r>
              <w:br/>
            </w:r>
            <w:r>
              <w:rPr>
                <w:rFonts w:ascii="Times New Roman"/>
                <w:b w:val="false"/>
                <w:i w:val="false"/>
                <w:color w:val="000000"/>
                <w:sz w:val="20"/>
              </w:rPr>
              <w:t>оказывающими услуги водоснабжения</w:t>
            </w:r>
            <w:r>
              <w:br/>
            </w:r>
            <w:r>
              <w:rPr>
                <w:rFonts w:ascii="Times New Roman"/>
                <w:b w:val="false"/>
                <w:i w:val="false"/>
                <w:color w:val="000000"/>
                <w:sz w:val="20"/>
              </w:rPr>
              <w:t>и (или) водоотведения</w:t>
            </w:r>
          </w:p>
        </w:tc>
      </w:tr>
    </w:tbl>
    <w:bookmarkStart w:name="z63" w:id="62"/>
    <w:p>
      <w:pPr>
        <w:spacing w:after="0"/>
        <w:ind w:left="0"/>
        <w:jc w:val="both"/>
      </w:pPr>
      <w:r>
        <w:rPr>
          <w:rFonts w:ascii="Times New Roman"/>
          <w:b w:val="false"/>
          <w:i w:val="false"/>
          <w:color w:val="000000"/>
          <w:sz w:val="28"/>
        </w:rPr>
        <w:t xml:space="preserve">
      форма            </w:t>
      </w:r>
    </w:p>
    <w:bookmarkEnd w:id="62"/>
    <w:bookmarkStart w:name="z64" w:id="63"/>
    <w:p>
      <w:pPr>
        <w:spacing w:after="0"/>
        <w:ind w:left="0"/>
        <w:jc w:val="left"/>
      </w:pPr>
      <w:r>
        <w:rPr>
          <w:rFonts w:ascii="Times New Roman"/>
          <w:b/>
          <w:i w:val="false"/>
          <w:color w:val="000000"/>
        </w:rPr>
        <w:t xml:space="preserve">  Отчетность об итоговом распределении доходов</w:t>
      </w:r>
      <w:r>
        <w:br/>
      </w:r>
      <w:r>
        <w:rPr>
          <w:rFonts w:ascii="Times New Roman"/>
          <w:b/>
          <w:i w:val="false"/>
          <w:color w:val="000000"/>
        </w:rPr>
        <w:t>и затрат по видам услуг</w:t>
      </w:r>
    </w:p>
    <w:bookmarkEnd w:id="63"/>
    <w:p>
      <w:pPr>
        <w:spacing w:after="0"/>
        <w:ind w:left="0"/>
        <w:jc w:val="both"/>
      </w:pPr>
      <w:r>
        <w:rPr>
          <w:rFonts w:ascii="Times New Roman"/>
          <w:b w:val="false"/>
          <w:i w:val="false"/>
          <w:color w:val="000000"/>
          <w:sz w:val="28"/>
        </w:rPr>
        <w:t>
      Отчетный период 20___ г.</w:t>
      </w:r>
    </w:p>
    <w:p>
      <w:pPr>
        <w:spacing w:after="0"/>
        <w:ind w:left="0"/>
        <w:jc w:val="both"/>
      </w:pPr>
      <w:r>
        <w:rPr>
          <w:rFonts w:ascii="Times New Roman"/>
          <w:b w:val="false"/>
          <w:i w:val="false"/>
          <w:color w:val="000000"/>
          <w:sz w:val="28"/>
        </w:rPr>
        <w:t>
      Индекс: РУ-Вода -3</w:t>
      </w:r>
    </w:p>
    <w:p>
      <w:pPr>
        <w:spacing w:after="0"/>
        <w:ind w:left="0"/>
        <w:jc w:val="both"/>
      </w:pPr>
      <w:r>
        <w:rPr>
          <w:rFonts w:ascii="Times New Roman"/>
          <w:b w:val="false"/>
          <w:i w:val="false"/>
          <w:color w:val="000000"/>
          <w:sz w:val="28"/>
        </w:rPr>
        <w:t>
      Периодичность: 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Круг лиц представляющих сведения:</w:t>
      </w:r>
    </w:p>
    <w:p>
      <w:pPr>
        <w:spacing w:after="0"/>
        <w:ind w:left="0"/>
        <w:jc w:val="both"/>
      </w:pPr>
      <w:r>
        <w:rPr>
          <w:rFonts w:ascii="Times New Roman"/>
          <w:b w:val="false"/>
          <w:i w:val="false"/>
          <w:color w:val="000000"/>
          <w:sz w:val="28"/>
        </w:rPr>
        <w:t>
      Субъекты естественных монополий, оказывающие услуги водоснабжения и (или) водоотведения.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представляются сведения:</w:t>
      </w:r>
    </w:p>
    <w:p>
      <w:pPr>
        <w:spacing w:after="0"/>
        <w:ind w:left="0"/>
        <w:jc w:val="both"/>
      </w:pPr>
      <w:r>
        <w:rPr>
          <w:rFonts w:ascii="Times New Roman"/>
          <w:b w:val="false"/>
          <w:i w:val="false"/>
          <w:color w:val="000000"/>
          <w:sz w:val="28"/>
        </w:rPr>
        <w:t>
      В Агентство Республики Казахстан по регулированию естественных монополий.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Срок представления – </w:t>
      </w:r>
      <w:r>
        <w:rPr>
          <w:rFonts w:ascii="Times New Roman"/>
          <w:b w:val="false"/>
          <w:i w:val="false"/>
          <w:color w:val="000000"/>
          <w:sz w:val="28"/>
        </w:rPr>
        <w:t>до 1 июня текущего года</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Наименование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527"/>
        <w:gridCol w:w="474"/>
        <w:gridCol w:w="367"/>
        <w:gridCol w:w="314"/>
        <w:gridCol w:w="394"/>
        <w:gridCol w:w="1301"/>
        <w:gridCol w:w="1221"/>
        <w:gridCol w:w="314"/>
        <w:gridCol w:w="446"/>
        <w:gridCol w:w="1301"/>
        <w:gridCol w:w="1539"/>
        <w:gridCol w:w="446"/>
        <w:gridCol w:w="1460"/>
        <w:gridCol w:w="447"/>
        <w:gridCol w:w="1462"/>
      </w:tblGrid>
      <w:tr>
        <w:trPr>
          <w:trHeight w:val="30" w:hRule="atLeast"/>
        </w:trPr>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отчет-</w:t>
            </w:r>
          </w:p>
          <w:p>
            <w:pPr>
              <w:spacing w:after="20"/>
              <w:ind w:left="20"/>
              <w:jc w:val="both"/>
            </w:pPr>
            <w:r>
              <w:rPr>
                <w:rFonts w:ascii="Times New Roman"/>
                <w:b w:val="false"/>
                <w:i w:val="false"/>
                <w:color w:val="000000"/>
                <w:sz w:val="20"/>
              </w:rPr>
              <w:t>
ный период по бух-</w:t>
            </w:r>
          </w:p>
          <w:p>
            <w:pPr>
              <w:spacing w:after="20"/>
              <w:ind w:left="20"/>
              <w:jc w:val="both"/>
            </w:pPr>
            <w:r>
              <w:rPr>
                <w:rFonts w:ascii="Times New Roman"/>
                <w:b w:val="false"/>
                <w:i w:val="false"/>
                <w:color w:val="000000"/>
                <w:sz w:val="20"/>
              </w:rPr>
              <w:t>
галтер-</w:t>
            </w:r>
          </w:p>
          <w:p>
            <w:pPr>
              <w:spacing w:after="20"/>
              <w:ind w:left="20"/>
              <w:jc w:val="both"/>
            </w:pPr>
            <w:r>
              <w:rPr>
                <w:rFonts w:ascii="Times New Roman"/>
                <w:b w:val="false"/>
                <w:i w:val="false"/>
                <w:color w:val="000000"/>
                <w:sz w:val="20"/>
              </w:rPr>
              <w:t>
скому учету, всего,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особому порядку на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неучтен-</w:t>
            </w:r>
          </w:p>
          <w:p>
            <w:pPr>
              <w:spacing w:after="20"/>
              <w:ind w:left="20"/>
              <w:jc w:val="both"/>
            </w:pPr>
            <w:r>
              <w:rPr>
                <w:rFonts w:ascii="Times New Roman"/>
                <w:b w:val="false"/>
                <w:i w:val="false"/>
                <w:color w:val="000000"/>
                <w:sz w:val="20"/>
              </w:rPr>
              <w:t>
ная в тарифе согла-</w:t>
            </w:r>
          </w:p>
          <w:p>
            <w:pPr>
              <w:spacing w:after="20"/>
              <w:ind w:left="20"/>
              <w:jc w:val="both"/>
            </w:pPr>
            <w:r>
              <w:rPr>
                <w:rFonts w:ascii="Times New Roman"/>
                <w:b w:val="false"/>
                <w:i w:val="false"/>
                <w:color w:val="000000"/>
                <w:sz w:val="20"/>
              </w:rPr>
              <w:t>
сно особому порядку</w:t>
            </w:r>
          </w:p>
        </w:tc>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по особо-</w:t>
            </w:r>
          </w:p>
          <w:p>
            <w:pPr>
              <w:spacing w:after="20"/>
              <w:ind w:left="20"/>
              <w:jc w:val="both"/>
            </w:pPr>
            <w:r>
              <w:rPr>
                <w:rFonts w:ascii="Times New Roman"/>
                <w:b w:val="false"/>
                <w:i w:val="false"/>
                <w:color w:val="000000"/>
                <w:sz w:val="20"/>
              </w:rPr>
              <w:t>
му порядку,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Нерегулируемые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w:t>
            </w:r>
          </w:p>
          <w:p>
            <w:pPr>
              <w:spacing w:after="20"/>
              <w:ind w:left="20"/>
              <w:jc w:val="both"/>
            </w:pPr>
            <w:r>
              <w:rPr>
                <w:rFonts w:ascii="Times New Roman"/>
                <w:b w:val="false"/>
                <w:i w:val="false"/>
                <w:color w:val="000000"/>
                <w:sz w:val="20"/>
              </w:rPr>
              <w:t>
циент распре-</w:t>
            </w:r>
          </w:p>
          <w:p>
            <w:pPr>
              <w:spacing w:after="20"/>
              <w:ind w:left="20"/>
              <w:jc w:val="both"/>
            </w:pPr>
            <w:r>
              <w:rPr>
                <w:rFonts w:ascii="Times New Roman"/>
                <w:b w:val="false"/>
                <w:i w:val="false"/>
                <w:color w:val="000000"/>
                <w:sz w:val="20"/>
              </w:rPr>
              <w:t>
деле-</w:t>
            </w:r>
          </w:p>
          <w:p>
            <w:pPr>
              <w:spacing w:after="20"/>
              <w:ind w:left="20"/>
              <w:jc w:val="both"/>
            </w:pPr>
            <w:r>
              <w:rPr>
                <w:rFonts w:ascii="Times New Roman"/>
                <w:b w:val="false"/>
                <w:i w:val="false"/>
                <w:color w:val="000000"/>
                <w:sz w:val="20"/>
              </w:rPr>
              <w:t>
ния</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утвер-</w:t>
            </w:r>
          </w:p>
          <w:p>
            <w:pPr>
              <w:spacing w:after="20"/>
              <w:ind w:left="20"/>
              <w:jc w:val="both"/>
            </w:pPr>
            <w:r>
              <w:rPr>
                <w:rFonts w:ascii="Times New Roman"/>
                <w:b w:val="false"/>
                <w:i w:val="false"/>
                <w:color w:val="000000"/>
                <w:sz w:val="20"/>
              </w:rPr>
              <w:t>
жден-</w:t>
            </w:r>
          </w:p>
          <w:p>
            <w:pPr>
              <w:spacing w:after="20"/>
              <w:ind w:left="20"/>
              <w:jc w:val="both"/>
            </w:pPr>
            <w:r>
              <w:rPr>
                <w:rFonts w:ascii="Times New Roman"/>
                <w:b w:val="false"/>
                <w:i w:val="false"/>
                <w:color w:val="000000"/>
                <w:sz w:val="20"/>
              </w:rPr>
              <w:t>
ной тариф-</w:t>
            </w:r>
          </w:p>
          <w:p>
            <w:pPr>
              <w:spacing w:after="20"/>
              <w:ind w:left="20"/>
              <w:jc w:val="both"/>
            </w:pPr>
            <w:r>
              <w:rPr>
                <w:rFonts w:ascii="Times New Roman"/>
                <w:b w:val="false"/>
                <w:i w:val="false"/>
                <w:color w:val="000000"/>
                <w:sz w:val="20"/>
              </w:rPr>
              <w:t>
ной смете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w:t>
            </w:r>
          </w:p>
          <w:p>
            <w:pPr>
              <w:spacing w:after="20"/>
              <w:ind w:left="20"/>
              <w:jc w:val="both"/>
            </w:pPr>
            <w:r>
              <w:rPr>
                <w:rFonts w:ascii="Times New Roman"/>
                <w:b w:val="false"/>
                <w:i w:val="false"/>
                <w:color w:val="000000"/>
                <w:sz w:val="20"/>
              </w:rPr>
              <w:t>
ческая сумма (графа 4 * графа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w:t>
            </w:r>
          </w:p>
          <w:p>
            <w:pPr>
              <w:spacing w:after="20"/>
              <w:ind w:left="20"/>
              <w:jc w:val="both"/>
            </w:pPr>
            <w:r>
              <w:rPr>
                <w:rFonts w:ascii="Times New Roman"/>
                <w:b w:val="false"/>
                <w:i w:val="false"/>
                <w:color w:val="000000"/>
                <w:sz w:val="20"/>
              </w:rPr>
              <w:t>
ние (графа 7 – графа 6)</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w:t>
            </w:r>
          </w:p>
          <w:p>
            <w:pPr>
              <w:spacing w:after="20"/>
              <w:ind w:left="20"/>
              <w:jc w:val="both"/>
            </w:pPr>
            <w:r>
              <w:rPr>
                <w:rFonts w:ascii="Times New Roman"/>
                <w:b w:val="false"/>
                <w:i w:val="false"/>
                <w:color w:val="000000"/>
                <w:sz w:val="20"/>
              </w:rPr>
              <w:t>
циент распре-</w:t>
            </w:r>
          </w:p>
          <w:p>
            <w:pPr>
              <w:spacing w:after="20"/>
              <w:ind w:left="20"/>
              <w:jc w:val="both"/>
            </w:pPr>
            <w:r>
              <w:rPr>
                <w:rFonts w:ascii="Times New Roman"/>
                <w:b w:val="false"/>
                <w:i w:val="false"/>
                <w:color w:val="000000"/>
                <w:sz w:val="20"/>
              </w:rPr>
              <w:t>
деле-</w:t>
            </w:r>
          </w:p>
          <w:p>
            <w:pPr>
              <w:spacing w:after="20"/>
              <w:ind w:left="20"/>
              <w:jc w:val="both"/>
            </w:pPr>
            <w:r>
              <w:rPr>
                <w:rFonts w:ascii="Times New Roman"/>
                <w:b w:val="false"/>
                <w:i w:val="false"/>
                <w:color w:val="000000"/>
                <w:sz w:val="20"/>
              </w:rPr>
              <w:t>
ния</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утвер-</w:t>
            </w:r>
          </w:p>
          <w:p>
            <w:pPr>
              <w:spacing w:after="20"/>
              <w:ind w:left="20"/>
              <w:jc w:val="both"/>
            </w:pPr>
            <w:r>
              <w:rPr>
                <w:rFonts w:ascii="Times New Roman"/>
                <w:b w:val="false"/>
                <w:i w:val="false"/>
                <w:color w:val="000000"/>
                <w:sz w:val="20"/>
              </w:rPr>
              <w:t>
жден-</w:t>
            </w:r>
          </w:p>
          <w:p>
            <w:pPr>
              <w:spacing w:after="20"/>
              <w:ind w:left="20"/>
              <w:jc w:val="both"/>
            </w:pPr>
            <w:r>
              <w:rPr>
                <w:rFonts w:ascii="Times New Roman"/>
                <w:b w:val="false"/>
                <w:i w:val="false"/>
                <w:color w:val="000000"/>
                <w:sz w:val="20"/>
              </w:rPr>
              <w:t>
ной тариф-</w:t>
            </w:r>
          </w:p>
          <w:p>
            <w:pPr>
              <w:spacing w:after="20"/>
              <w:ind w:left="20"/>
              <w:jc w:val="both"/>
            </w:pPr>
            <w:r>
              <w:rPr>
                <w:rFonts w:ascii="Times New Roman"/>
                <w:b w:val="false"/>
                <w:i w:val="false"/>
                <w:color w:val="000000"/>
                <w:sz w:val="20"/>
              </w:rPr>
              <w:t>
ной смете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w:t>
            </w:r>
          </w:p>
          <w:p>
            <w:pPr>
              <w:spacing w:after="20"/>
              <w:ind w:left="20"/>
              <w:jc w:val="both"/>
            </w:pPr>
            <w:r>
              <w:rPr>
                <w:rFonts w:ascii="Times New Roman"/>
                <w:b w:val="false"/>
                <w:i w:val="false"/>
                <w:color w:val="000000"/>
                <w:sz w:val="20"/>
              </w:rPr>
              <w:t>
ческая сумма (графа 4 * графа 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w:t>
            </w:r>
          </w:p>
          <w:p>
            <w:pPr>
              <w:spacing w:after="20"/>
              <w:ind w:left="20"/>
              <w:jc w:val="both"/>
            </w:pPr>
            <w:r>
              <w:rPr>
                <w:rFonts w:ascii="Times New Roman"/>
                <w:b w:val="false"/>
                <w:i w:val="false"/>
                <w:color w:val="000000"/>
                <w:sz w:val="20"/>
              </w:rPr>
              <w:t>
ние (графа 11 – графа 10)</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w:t>
            </w:r>
          </w:p>
          <w:p>
            <w:pPr>
              <w:spacing w:after="20"/>
              <w:ind w:left="20"/>
              <w:jc w:val="both"/>
            </w:pPr>
            <w:r>
              <w:rPr>
                <w:rFonts w:ascii="Times New Roman"/>
                <w:b w:val="false"/>
                <w:i w:val="false"/>
                <w:color w:val="000000"/>
                <w:sz w:val="20"/>
              </w:rPr>
              <w:t>
циент распре-</w:t>
            </w:r>
          </w:p>
          <w:p>
            <w:pPr>
              <w:spacing w:after="20"/>
              <w:ind w:left="20"/>
              <w:jc w:val="both"/>
            </w:pPr>
            <w:r>
              <w:rPr>
                <w:rFonts w:ascii="Times New Roman"/>
                <w:b w:val="false"/>
                <w:i w:val="false"/>
                <w:color w:val="000000"/>
                <w:sz w:val="20"/>
              </w:rPr>
              <w:t>
деления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w:t>
            </w:r>
          </w:p>
          <w:p>
            <w:pPr>
              <w:spacing w:after="20"/>
              <w:ind w:left="20"/>
              <w:jc w:val="both"/>
            </w:pPr>
            <w:r>
              <w:rPr>
                <w:rFonts w:ascii="Times New Roman"/>
                <w:b w:val="false"/>
                <w:i w:val="false"/>
                <w:color w:val="000000"/>
                <w:sz w:val="20"/>
              </w:rPr>
              <w:t>
ческая сумма (графа 4 * графа 13)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w:t>
            </w:r>
          </w:p>
          <w:p>
            <w:pPr>
              <w:spacing w:after="20"/>
              <w:ind w:left="20"/>
              <w:jc w:val="both"/>
            </w:pPr>
            <w:r>
              <w:rPr>
                <w:rFonts w:ascii="Times New Roman"/>
                <w:b w:val="false"/>
                <w:i w:val="false"/>
                <w:color w:val="000000"/>
                <w:sz w:val="20"/>
              </w:rPr>
              <w:t>
циент распре-</w:t>
            </w:r>
          </w:p>
          <w:p>
            <w:pPr>
              <w:spacing w:after="20"/>
              <w:ind w:left="20"/>
              <w:jc w:val="both"/>
            </w:pPr>
            <w:r>
              <w:rPr>
                <w:rFonts w:ascii="Times New Roman"/>
                <w:b w:val="false"/>
                <w:i w:val="false"/>
                <w:color w:val="000000"/>
                <w:sz w:val="20"/>
              </w:rPr>
              <w:t>
деления</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w:t>
            </w:r>
          </w:p>
          <w:p>
            <w:pPr>
              <w:spacing w:after="20"/>
              <w:ind w:left="20"/>
              <w:jc w:val="both"/>
            </w:pPr>
            <w:r>
              <w:rPr>
                <w:rFonts w:ascii="Times New Roman"/>
                <w:b w:val="false"/>
                <w:i w:val="false"/>
                <w:color w:val="000000"/>
                <w:sz w:val="20"/>
              </w:rPr>
              <w:t>
ческая сумма (графа 4 * графа 15)</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Руководитель __________________ 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Главный бухгалтер __________________ 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Исполнитель  ________________________ 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"____"_____________________г.</w:t>
      </w:r>
    </w:p>
    <w:bookmarkStart w:name="z65" w:id="64"/>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w:t>
      </w:r>
      <w:r>
        <w:br/>
      </w:r>
      <w:r>
        <w:rPr>
          <w:rFonts w:ascii="Times New Roman"/>
          <w:b/>
          <w:i w:val="false"/>
          <w:color w:val="000000"/>
        </w:rPr>
        <w:t>Отчет об итоговом распределении доходов и затрат</w:t>
      </w:r>
      <w:r>
        <w:br/>
      </w:r>
      <w:r>
        <w:rPr>
          <w:rFonts w:ascii="Times New Roman"/>
          <w:b/>
          <w:i w:val="false"/>
          <w:color w:val="000000"/>
        </w:rPr>
        <w:t>по видам услуг</w:t>
      </w:r>
      <w:r>
        <w:br/>
      </w:r>
      <w:r>
        <w:rPr>
          <w:rFonts w:ascii="Times New Roman"/>
          <w:b/>
          <w:i w:val="false"/>
          <w:color w:val="000000"/>
        </w:rPr>
        <w:t>1. Общие указания</w:t>
      </w:r>
    </w:p>
    <w:bookmarkEnd w:id="64"/>
    <w:p>
      <w:pPr>
        <w:spacing w:after="0"/>
        <w:ind w:left="0"/>
        <w:jc w:val="both"/>
      </w:pPr>
      <w:r>
        <w:rPr>
          <w:rFonts w:ascii="Times New Roman"/>
          <w:b w:val="false"/>
          <w:i w:val="false"/>
          <w:color w:val="000000"/>
          <w:sz w:val="28"/>
        </w:rPr>
        <w:t>
      Настоящее пояснение предназначено для составления и представления субъектами естественной монополий, оказывающие услуги водоснабжения и (или) водоотведения и другие услуги отчета об итоговом распределении доходов и затрат по видам услуг.</w:t>
      </w:r>
    </w:p>
    <w:p>
      <w:pPr>
        <w:spacing w:after="0"/>
        <w:ind w:left="0"/>
        <w:jc w:val="both"/>
      </w:pPr>
      <w:r>
        <w:rPr>
          <w:rFonts w:ascii="Times New Roman"/>
          <w:b w:val="false"/>
          <w:i w:val="false"/>
          <w:color w:val="000000"/>
          <w:sz w:val="28"/>
        </w:rPr>
        <w:t>
      Субъекты осуществляют раздельный учет доходов, затрат и задействованных активов по каждому виду услуг.</w:t>
      </w:r>
    </w:p>
    <w:p>
      <w:pPr>
        <w:spacing w:after="0"/>
        <w:ind w:left="0"/>
        <w:jc w:val="both"/>
      </w:pPr>
      <w:r>
        <w:rPr>
          <w:rFonts w:ascii="Times New Roman"/>
          <w:b w:val="false"/>
          <w:i w:val="false"/>
          <w:color w:val="000000"/>
          <w:sz w:val="28"/>
        </w:rPr>
        <w:t>
      Все показатели в стоимостном выражении заполняются в тысячах тенге без десятичного знака.</w:t>
      </w:r>
    </w:p>
    <w:p>
      <w:pPr>
        <w:spacing w:after="0"/>
        <w:ind w:left="0"/>
        <w:jc w:val="both"/>
      </w:pPr>
      <w:r>
        <w:rPr>
          <w:rFonts w:ascii="Times New Roman"/>
          <w:b w:val="false"/>
          <w:i w:val="false"/>
          <w:color w:val="000000"/>
          <w:sz w:val="28"/>
        </w:rPr>
        <w:t>
      Отчет представляется в Уполномоченный орган на электронном и бумажном носителе. Отчет на бумажном носителе подписывается руководителем, главным бухгалтером и исполнителем Субъекта и заверяется печатью. Отчет на электронном носителе должен соответствовать отчету предоставленной на бумажном носителе.</w:t>
      </w:r>
    </w:p>
    <w:bookmarkStart w:name="z67" w:id="65"/>
    <w:p>
      <w:pPr>
        <w:spacing w:after="0"/>
        <w:ind w:left="0"/>
        <w:jc w:val="left"/>
      </w:pPr>
      <w:r>
        <w:rPr>
          <w:rFonts w:ascii="Times New Roman"/>
          <w:b/>
          <w:i w:val="false"/>
          <w:color w:val="000000"/>
        </w:rPr>
        <w:t xml:space="preserve"> 2. Пояснения по заполнению формы</w:t>
      </w:r>
    </w:p>
    <w:bookmarkEnd w:id="65"/>
    <w:p>
      <w:pPr>
        <w:spacing w:after="0"/>
        <w:ind w:left="0"/>
        <w:jc w:val="both"/>
      </w:pPr>
      <w:r>
        <w:rPr>
          <w:rFonts w:ascii="Times New Roman"/>
          <w:b w:val="false"/>
          <w:i w:val="false"/>
          <w:color w:val="000000"/>
          <w:sz w:val="28"/>
        </w:rPr>
        <w:t>
      При заполнении формы Субъекту обязательно указать в левом верхнем углу наименование предприятия и его адрес, а в правом верхнем углу на соответствующее приложение нормативного правового акта уполномоченного органа.</w:t>
      </w:r>
    </w:p>
    <w:p>
      <w:pPr>
        <w:spacing w:after="0"/>
        <w:ind w:left="0"/>
        <w:jc w:val="both"/>
      </w:pPr>
      <w:r>
        <w:rPr>
          <w:rFonts w:ascii="Times New Roman"/>
          <w:b w:val="false"/>
          <w:i w:val="false"/>
          <w:color w:val="000000"/>
          <w:sz w:val="28"/>
        </w:rPr>
        <w:t>
      Сведения заполняются Субъектом на предыдущий календарный год.</w:t>
      </w:r>
    </w:p>
    <w:p>
      <w:pPr>
        <w:spacing w:after="0"/>
        <w:ind w:left="0"/>
        <w:jc w:val="both"/>
      </w:pPr>
      <w:r>
        <w:rPr>
          <w:rFonts w:ascii="Times New Roman"/>
          <w:b w:val="false"/>
          <w:i w:val="false"/>
          <w:color w:val="000000"/>
          <w:sz w:val="28"/>
        </w:rPr>
        <w:t>
      По графе 1 приводится информация о наименовании доходов и затрат по видам оказываемых услуг Субъекта.</w:t>
      </w:r>
    </w:p>
    <w:p>
      <w:pPr>
        <w:spacing w:after="0"/>
        <w:ind w:left="0"/>
        <w:jc w:val="both"/>
      </w:pPr>
      <w:r>
        <w:rPr>
          <w:rFonts w:ascii="Times New Roman"/>
          <w:b w:val="false"/>
          <w:i w:val="false"/>
          <w:color w:val="000000"/>
          <w:sz w:val="28"/>
        </w:rPr>
        <w:t>
      По графе 2 приводятся данные об итоговой сумме доходов и затрат за соответствующий период по бухгалтерскому учету, в тенге (графа 3 + графа 4).</w:t>
      </w:r>
    </w:p>
    <w:p>
      <w:pPr>
        <w:spacing w:after="0"/>
        <w:ind w:left="0"/>
        <w:jc w:val="both"/>
      </w:pPr>
      <w:r>
        <w:rPr>
          <w:rFonts w:ascii="Times New Roman"/>
          <w:b w:val="false"/>
          <w:i w:val="false"/>
          <w:color w:val="000000"/>
          <w:sz w:val="28"/>
        </w:rPr>
        <w:t xml:space="preserve">
      Итоговая сумма доходов в </w:t>
      </w:r>
      <w:r>
        <w:rPr>
          <w:rFonts w:ascii="Times New Roman"/>
          <w:b w:val="false"/>
          <w:i w:val="false"/>
          <w:color w:val="000000"/>
          <w:sz w:val="28"/>
        </w:rPr>
        <w:t xml:space="preserve"> приложении 3</w:t>
      </w:r>
      <w:r>
        <w:rPr>
          <w:rFonts w:ascii="Times New Roman"/>
          <w:b w:val="false"/>
          <w:i w:val="false"/>
          <w:color w:val="000000"/>
          <w:sz w:val="28"/>
        </w:rPr>
        <w:t xml:space="preserve"> к Правилам должна соответствовать данным, отраженным по строке "Доход от реализации товаров, работ и услуг"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p>
      <w:pPr>
        <w:spacing w:after="0"/>
        <w:ind w:left="0"/>
        <w:jc w:val="both"/>
      </w:pPr>
      <w:r>
        <w:rPr>
          <w:rFonts w:ascii="Times New Roman"/>
          <w:b w:val="false"/>
          <w:i w:val="false"/>
          <w:color w:val="000000"/>
          <w:sz w:val="28"/>
        </w:rPr>
        <w:t xml:space="preserve">
      Итоговая сумма расходов в </w:t>
      </w:r>
      <w:r>
        <w:rPr>
          <w:rFonts w:ascii="Times New Roman"/>
          <w:b w:val="false"/>
          <w:i w:val="false"/>
          <w:color w:val="000000"/>
          <w:sz w:val="28"/>
        </w:rPr>
        <w:t xml:space="preserve"> приложении 3</w:t>
      </w:r>
      <w:r>
        <w:rPr>
          <w:rFonts w:ascii="Times New Roman"/>
          <w:b w:val="false"/>
          <w:i w:val="false"/>
          <w:color w:val="000000"/>
          <w:sz w:val="28"/>
        </w:rPr>
        <w:t xml:space="preserve"> к Правилам за минусом расходов периода должна соответствовать данным, отраженным по строке "Себестоимость реализованных товаров (работ, услуг)"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p>
      <w:pPr>
        <w:spacing w:after="0"/>
        <w:ind w:left="0"/>
        <w:jc w:val="both"/>
      </w:pPr>
      <w:r>
        <w:rPr>
          <w:rFonts w:ascii="Times New Roman"/>
          <w:b w:val="false"/>
          <w:i w:val="false"/>
          <w:color w:val="000000"/>
          <w:sz w:val="28"/>
        </w:rPr>
        <w:t xml:space="preserve">
      Итоговая сумма расходов периода в </w:t>
      </w:r>
      <w:r>
        <w:rPr>
          <w:rFonts w:ascii="Times New Roman"/>
          <w:b w:val="false"/>
          <w:i w:val="false"/>
          <w:color w:val="000000"/>
          <w:sz w:val="28"/>
        </w:rPr>
        <w:t xml:space="preserve"> приложении 3</w:t>
      </w:r>
      <w:r>
        <w:rPr>
          <w:rFonts w:ascii="Times New Roman"/>
          <w:b w:val="false"/>
          <w:i w:val="false"/>
          <w:color w:val="000000"/>
          <w:sz w:val="28"/>
        </w:rPr>
        <w:t xml:space="preserve"> к Правилам должна соответствовать данным, отраженным по строке "Расходы периода" отчета о результатах финансово-хозяйственной деятельности, составляемого субъектом в соответствии с законодательством о бухгалтерском учете и финансовой отчетности, за соответствующий период.</w:t>
      </w:r>
    </w:p>
    <w:p>
      <w:pPr>
        <w:spacing w:after="0"/>
        <w:ind w:left="0"/>
        <w:jc w:val="both"/>
      </w:pPr>
      <w:r>
        <w:rPr>
          <w:rFonts w:ascii="Times New Roman"/>
          <w:b w:val="false"/>
          <w:i w:val="false"/>
          <w:color w:val="000000"/>
          <w:sz w:val="28"/>
        </w:rPr>
        <w:t>
      Учетная (остаточная) стоимость основных средств и нематериальных активов должна соответствовать данным бухгалтерского учета на соответствующую дату.</w:t>
      </w:r>
    </w:p>
    <w:p>
      <w:pPr>
        <w:spacing w:after="0"/>
        <w:ind w:left="0"/>
        <w:jc w:val="both"/>
      </w:pPr>
      <w:r>
        <w:rPr>
          <w:rFonts w:ascii="Times New Roman"/>
          <w:b w:val="false"/>
          <w:i w:val="false"/>
          <w:color w:val="000000"/>
          <w:sz w:val="28"/>
        </w:rPr>
        <w:t>
      По графе 3 приводятся данные о сумме затрат, неучтенная в тарифе согласно Правил об особом порядке формирования затрат, применяемом при утверждении тарифов (цен, ставок сборов) на регулируемые услуги (товары, работы) субъектов естественных монополий, утвержденной приказом и.о. Председателя Агентства Республики Казахстан по регулированию естественных монополий и защите конкуренции от 30 июля 2003 года № 185-ОД (далее – Особый порядок).</w:t>
      </w:r>
    </w:p>
    <w:p>
      <w:pPr>
        <w:spacing w:after="0"/>
        <w:ind w:left="0"/>
        <w:jc w:val="both"/>
      </w:pPr>
      <w:r>
        <w:rPr>
          <w:rFonts w:ascii="Times New Roman"/>
          <w:b w:val="false"/>
          <w:i w:val="false"/>
          <w:color w:val="000000"/>
          <w:sz w:val="28"/>
        </w:rPr>
        <w:t>
      По графе 4 сумма доходов и затрат по Особому порядку.</w:t>
      </w:r>
    </w:p>
    <w:p>
      <w:pPr>
        <w:spacing w:after="0"/>
        <w:ind w:left="0"/>
        <w:jc w:val="both"/>
      </w:pPr>
      <w:r>
        <w:rPr>
          <w:rFonts w:ascii="Times New Roman"/>
          <w:b w:val="false"/>
          <w:i w:val="false"/>
          <w:color w:val="000000"/>
          <w:sz w:val="28"/>
        </w:rPr>
        <w:t>
      В графах 5 - 16 приводятся данные о сумме затрат по Особому порядку в разрезе регулируемых (водоснабжения и (или) водоотведения) и нерегулируемых услуг.</w:t>
      </w:r>
    </w:p>
    <w:p>
      <w:pPr>
        <w:spacing w:after="0"/>
        <w:ind w:left="0"/>
        <w:jc w:val="both"/>
      </w:pPr>
      <w:r>
        <w:rPr>
          <w:rFonts w:ascii="Times New Roman"/>
          <w:b w:val="false"/>
          <w:i w:val="false"/>
          <w:color w:val="000000"/>
          <w:sz w:val="28"/>
        </w:rPr>
        <w:t>
      По графе 5 приводятся информация о коэффициенте распределения соответствующей регулируемой Уполномоченным органом услуге Субъекта.</w:t>
      </w:r>
    </w:p>
    <w:p>
      <w:pPr>
        <w:spacing w:after="0"/>
        <w:ind w:left="0"/>
        <w:jc w:val="both"/>
      </w:pPr>
      <w:r>
        <w:rPr>
          <w:rFonts w:ascii="Times New Roman"/>
          <w:b w:val="false"/>
          <w:i w:val="false"/>
          <w:color w:val="000000"/>
          <w:sz w:val="28"/>
        </w:rPr>
        <w:t>
      По графе 6 приводятся данные о сумме доходов и затрат по утвержденной Уполномоченным органом тарифной смете соответствующей регулируемой услуге Субъекта.</w:t>
      </w:r>
    </w:p>
    <w:p>
      <w:pPr>
        <w:spacing w:after="0"/>
        <w:ind w:left="0"/>
        <w:jc w:val="both"/>
      </w:pPr>
      <w:r>
        <w:rPr>
          <w:rFonts w:ascii="Times New Roman"/>
          <w:b w:val="false"/>
          <w:i w:val="false"/>
          <w:color w:val="000000"/>
          <w:sz w:val="28"/>
        </w:rPr>
        <w:t>
      По графе 7 приводятся данные о фактических затратах и доходах соответствующей регулируемой Уполномоченным органом услуге Субъекта (графа 4 - графа 5).</w:t>
      </w:r>
    </w:p>
    <w:p>
      <w:pPr>
        <w:spacing w:after="0"/>
        <w:ind w:left="0"/>
        <w:jc w:val="both"/>
      </w:pPr>
      <w:r>
        <w:rPr>
          <w:rFonts w:ascii="Times New Roman"/>
          <w:b w:val="false"/>
          <w:i w:val="false"/>
          <w:color w:val="000000"/>
          <w:sz w:val="28"/>
        </w:rPr>
        <w:t>
      По графе 8 приводятся данные об отклонении от фактических затратах и доходах к сумме доходов и затрат по утвержденной Уполномоченным органом тарифной смете соответствующей регулируемой услуге Субъекта (графа 7 – графа 6).</w:t>
      </w:r>
    </w:p>
    <w:p>
      <w:pPr>
        <w:spacing w:after="0"/>
        <w:ind w:left="0"/>
        <w:jc w:val="both"/>
      </w:pPr>
      <w:r>
        <w:rPr>
          <w:rFonts w:ascii="Times New Roman"/>
          <w:b w:val="false"/>
          <w:i w:val="false"/>
          <w:color w:val="000000"/>
          <w:sz w:val="28"/>
        </w:rPr>
        <w:t>
      По графе 9 приводится информация о коэффициенте распределения соответствующей регулируемой Уполномоченным органом услуге Субъекта.</w:t>
      </w:r>
    </w:p>
    <w:p>
      <w:pPr>
        <w:spacing w:after="0"/>
        <w:ind w:left="0"/>
        <w:jc w:val="both"/>
      </w:pPr>
      <w:r>
        <w:rPr>
          <w:rFonts w:ascii="Times New Roman"/>
          <w:b w:val="false"/>
          <w:i w:val="false"/>
          <w:color w:val="000000"/>
          <w:sz w:val="28"/>
        </w:rPr>
        <w:t>
      По графе 10 приводятся данные о сумме доходов и затрат по утвержденной Уполномоченным органом тарифной смете соответствующей регулируемой услуге Субъекта.</w:t>
      </w:r>
    </w:p>
    <w:p>
      <w:pPr>
        <w:spacing w:after="0"/>
        <w:ind w:left="0"/>
        <w:jc w:val="both"/>
      </w:pPr>
      <w:r>
        <w:rPr>
          <w:rFonts w:ascii="Times New Roman"/>
          <w:b w:val="false"/>
          <w:i w:val="false"/>
          <w:color w:val="000000"/>
          <w:sz w:val="28"/>
        </w:rPr>
        <w:t>
      По графе 11 приводятся данные о фактических затратах и доходах соответствующей регулируемой Уполномоченным органом услуге Субъекта (графа 4 - графа 9).</w:t>
      </w:r>
    </w:p>
    <w:p>
      <w:pPr>
        <w:spacing w:after="0"/>
        <w:ind w:left="0"/>
        <w:jc w:val="both"/>
      </w:pPr>
      <w:r>
        <w:rPr>
          <w:rFonts w:ascii="Times New Roman"/>
          <w:b w:val="false"/>
          <w:i w:val="false"/>
          <w:color w:val="000000"/>
          <w:sz w:val="28"/>
        </w:rPr>
        <w:t>
      По графе 12 приводятся данные об отклонении от фактических затратах и доходах к сумме доходов и затрат по утвержденной Уполномоченным органом тарифной смете соответствующей регулируемой услуге Субъекта (графа 11 – графа 10).</w:t>
      </w:r>
    </w:p>
    <w:p>
      <w:pPr>
        <w:spacing w:after="0"/>
        <w:ind w:left="0"/>
        <w:jc w:val="both"/>
      </w:pPr>
      <w:r>
        <w:rPr>
          <w:rFonts w:ascii="Times New Roman"/>
          <w:b w:val="false"/>
          <w:i w:val="false"/>
          <w:color w:val="000000"/>
          <w:sz w:val="28"/>
        </w:rPr>
        <w:t>
      По графе 13 приводится информация о коэффициенте распределения нерегулируемой услуге.</w:t>
      </w:r>
    </w:p>
    <w:p>
      <w:pPr>
        <w:spacing w:after="0"/>
        <w:ind w:left="0"/>
        <w:jc w:val="both"/>
      </w:pPr>
      <w:r>
        <w:rPr>
          <w:rFonts w:ascii="Times New Roman"/>
          <w:b w:val="false"/>
          <w:i w:val="false"/>
          <w:color w:val="000000"/>
          <w:sz w:val="28"/>
        </w:rPr>
        <w:t>
      По графе 14 приводятся данные о фактических затратах и доходах соответствующей нерегулируемой услуге Субъекта (графа 4 - графа 13).</w:t>
      </w:r>
    </w:p>
    <w:p>
      <w:pPr>
        <w:spacing w:after="0"/>
        <w:ind w:left="0"/>
        <w:jc w:val="both"/>
      </w:pPr>
      <w:r>
        <w:rPr>
          <w:rFonts w:ascii="Times New Roman"/>
          <w:b w:val="false"/>
          <w:i w:val="false"/>
          <w:color w:val="000000"/>
          <w:sz w:val="28"/>
        </w:rPr>
        <w:t>
      По графе 15 приводится информация о коэффициенте распределения нерегулируемой услуге.</w:t>
      </w:r>
    </w:p>
    <w:p>
      <w:pPr>
        <w:spacing w:after="0"/>
        <w:ind w:left="0"/>
        <w:jc w:val="both"/>
      </w:pPr>
      <w:r>
        <w:rPr>
          <w:rFonts w:ascii="Times New Roman"/>
          <w:b w:val="false"/>
          <w:i w:val="false"/>
          <w:color w:val="000000"/>
          <w:sz w:val="28"/>
        </w:rPr>
        <w:t>
      По графе 16 приводятся данные о фактических затратах и доходах соответствующей нерегулируемой услуге Субъекта (графа 4 - графа 15).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 раздельного учета доходов,</w:t>
            </w:r>
            <w:r>
              <w:br/>
            </w:r>
            <w:r>
              <w:rPr>
                <w:rFonts w:ascii="Times New Roman"/>
                <w:b w:val="false"/>
                <w:i w:val="false"/>
                <w:color w:val="000000"/>
                <w:sz w:val="20"/>
              </w:rPr>
              <w:t>затрат и задействованных активов субъектами</w:t>
            </w:r>
            <w:r>
              <w:br/>
            </w:r>
            <w:r>
              <w:rPr>
                <w:rFonts w:ascii="Times New Roman"/>
                <w:b w:val="false"/>
                <w:i w:val="false"/>
                <w:color w:val="000000"/>
                <w:sz w:val="20"/>
              </w:rPr>
              <w:t>естественной монополии, оказывающими услуги</w:t>
            </w:r>
            <w:r>
              <w:br/>
            </w:r>
            <w:r>
              <w:rPr>
                <w:rFonts w:ascii="Times New Roman"/>
                <w:b w:val="false"/>
                <w:i w:val="false"/>
                <w:color w:val="000000"/>
                <w:sz w:val="20"/>
              </w:rPr>
              <w:t>водоснабжения и (или) водоотведения</w:t>
            </w:r>
          </w:p>
        </w:tc>
      </w:tr>
    </w:tbl>
    <w:bookmarkStart w:name="z69" w:id="66"/>
    <w:p>
      <w:pPr>
        <w:spacing w:after="0"/>
        <w:ind w:left="0"/>
        <w:jc w:val="both"/>
      </w:pPr>
      <w:r>
        <w:rPr>
          <w:rFonts w:ascii="Times New Roman"/>
          <w:b w:val="false"/>
          <w:i w:val="false"/>
          <w:color w:val="000000"/>
          <w:sz w:val="28"/>
        </w:rPr>
        <w:t xml:space="preserve">
      форма            </w:t>
      </w:r>
    </w:p>
    <w:bookmarkEnd w:id="66"/>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Наименование предприятия</w:t>
      </w:r>
    </w:p>
    <w:bookmarkStart w:name="z70" w:id="67"/>
    <w:p>
      <w:pPr>
        <w:spacing w:after="0"/>
        <w:ind w:left="0"/>
        <w:jc w:val="both"/>
      </w:pPr>
      <w:r>
        <w:rPr>
          <w:rFonts w:ascii="Times New Roman"/>
          <w:b w:val="false"/>
          <w:i w:val="false"/>
          <w:color w:val="000000"/>
          <w:sz w:val="28"/>
        </w:rPr>
        <w:t>
                        Расчет коэффициента распределения затрат по</w:t>
      </w:r>
    </w:p>
    <w:bookmarkEnd w:id="67"/>
    <w:p>
      <w:pPr>
        <w:spacing w:after="0"/>
        <w:ind w:left="0"/>
        <w:jc w:val="both"/>
      </w:pPr>
      <w:r>
        <w:rPr>
          <w:rFonts w:ascii="Times New Roman"/>
          <w:b w:val="false"/>
          <w:i w:val="false"/>
          <w:color w:val="000000"/>
          <w:sz w:val="28"/>
        </w:rPr>
        <w:t>
                          нематериальным активам на _________год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684"/>
        <w:gridCol w:w="2437"/>
        <w:gridCol w:w="2173"/>
        <w:gridCol w:w="2728"/>
        <w:gridCol w:w="1824"/>
        <w:gridCol w:w="421"/>
        <w:gridCol w:w="421"/>
        <w:gridCol w:w="421"/>
        <w:gridCol w:w="421"/>
      </w:tblGrid>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w:t>
            </w:r>
          </w:p>
          <w:p>
            <w:pPr>
              <w:spacing w:after="20"/>
              <w:ind w:left="20"/>
              <w:jc w:val="both"/>
            </w:pPr>
            <w:r>
              <w:rPr>
                <w:rFonts w:ascii="Times New Roman"/>
                <w:b w:val="false"/>
                <w:i w:val="false"/>
                <w:color w:val="000000"/>
                <w:sz w:val="20"/>
              </w:rPr>
              <w:t>
ние актива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затрат</w:t>
            </w:r>
          </w:p>
        </w:tc>
        <w:tc>
          <w:tcPr>
            <w:tcW w:w="2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состояние (работает или в резерве)</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стоимость, тенге</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(остаточная) cтоимость задейство-</w:t>
            </w:r>
          </w:p>
          <w:p>
            <w:pPr>
              <w:spacing w:after="20"/>
              <w:ind w:left="20"/>
              <w:jc w:val="both"/>
            </w:pPr>
            <w:r>
              <w:rPr>
                <w:rFonts w:ascii="Times New Roman"/>
                <w:b w:val="false"/>
                <w:i w:val="false"/>
                <w:color w:val="000000"/>
                <w:sz w:val="20"/>
              </w:rPr>
              <w:t>
ванного актива,</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w:t>
            </w:r>
          </w:p>
          <w:p>
            <w:pPr>
              <w:spacing w:after="20"/>
              <w:ind w:left="20"/>
              <w:jc w:val="both"/>
            </w:pPr>
            <w:r>
              <w:rPr>
                <w:rFonts w:ascii="Times New Roman"/>
                <w:b w:val="false"/>
                <w:i w:val="false"/>
                <w:color w:val="000000"/>
                <w:sz w:val="20"/>
              </w:rPr>
              <w:t>
деления Значение коэффиц. распре-</w:t>
            </w:r>
          </w:p>
          <w:p>
            <w:pPr>
              <w:spacing w:after="20"/>
              <w:ind w:left="20"/>
              <w:jc w:val="both"/>
            </w:pPr>
            <w:r>
              <w:rPr>
                <w:rFonts w:ascii="Times New Roman"/>
                <w:b w:val="false"/>
                <w:i w:val="false"/>
                <w:color w:val="000000"/>
                <w:sz w:val="20"/>
              </w:rPr>
              <w:t>
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Руководитель __________________ 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Главный бухгалтер __________________ 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Исполнитель  ________________________ 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"____"_____________________г.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 раздельного учета доходов,</w:t>
            </w:r>
            <w:r>
              <w:br/>
            </w:r>
            <w:r>
              <w:rPr>
                <w:rFonts w:ascii="Times New Roman"/>
                <w:b w:val="false"/>
                <w:i w:val="false"/>
                <w:color w:val="000000"/>
                <w:sz w:val="20"/>
              </w:rPr>
              <w:t>затрат и задействованных активов субъектами</w:t>
            </w:r>
            <w:r>
              <w:br/>
            </w:r>
            <w:r>
              <w:rPr>
                <w:rFonts w:ascii="Times New Roman"/>
                <w:b w:val="false"/>
                <w:i w:val="false"/>
                <w:color w:val="000000"/>
                <w:sz w:val="20"/>
              </w:rPr>
              <w:t>естественной монополии, оказывающими услуги</w:t>
            </w:r>
            <w:r>
              <w:br/>
            </w:r>
            <w:r>
              <w:rPr>
                <w:rFonts w:ascii="Times New Roman"/>
                <w:b w:val="false"/>
                <w:i w:val="false"/>
                <w:color w:val="000000"/>
                <w:sz w:val="20"/>
              </w:rPr>
              <w:t>водоснабжения и (или) водоотведения</w:t>
            </w:r>
          </w:p>
        </w:tc>
      </w:tr>
    </w:tbl>
    <w:bookmarkStart w:name="z72" w:id="68"/>
    <w:p>
      <w:pPr>
        <w:spacing w:after="0"/>
        <w:ind w:left="0"/>
        <w:jc w:val="both"/>
      </w:pPr>
      <w:r>
        <w:rPr>
          <w:rFonts w:ascii="Times New Roman"/>
          <w:b w:val="false"/>
          <w:i w:val="false"/>
          <w:color w:val="000000"/>
          <w:sz w:val="28"/>
        </w:rPr>
        <w:t xml:space="preserve">
      форма            </w:t>
      </w:r>
    </w:p>
    <w:bookmarkEnd w:id="68"/>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Наименование предприятия</w:t>
      </w:r>
    </w:p>
    <w:bookmarkStart w:name="z73" w:id="69"/>
    <w:p>
      <w:pPr>
        <w:spacing w:after="0"/>
        <w:ind w:left="0"/>
        <w:jc w:val="both"/>
      </w:pPr>
      <w:r>
        <w:rPr>
          <w:rFonts w:ascii="Times New Roman"/>
          <w:b w:val="false"/>
          <w:i w:val="false"/>
          <w:color w:val="000000"/>
          <w:sz w:val="28"/>
        </w:rPr>
        <w:t>
                              Расчет коэффициента распределения расходов на</w:t>
      </w:r>
    </w:p>
    <w:bookmarkEnd w:id="69"/>
    <w:p>
      <w:pPr>
        <w:spacing w:after="0"/>
        <w:ind w:left="0"/>
        <w:jc w:val="both"/>
      </w:pPr>
      <w:r>
        <w:rPr>
          <w:rFonts w:ascii="Times New Roman"/>
          <w:b w:val="false"/>
          <w:i w:val="false"/>
          <w:color w:val="000000"/>
          <w:sz w:val="28"/>
        </w:rPr>
        <w:t>
                                    оплату труда персонала на _________год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6"/>
        <w:gridCol w:w="967"/>
        <w:gridCol w:w="967"/>
        <w:gridCol w:w="2084"/>
        <w:gridCol w:w="2456"/>
        <w:gridCol w:w="595"/>
        <w:gridCol w:w="595"/>
        <w:gridCol w:w="595"/>
        <w:gridCol w:w="595"/>
      </w:tblGrid>
      <w:tr>
        <w:trPr>
          <w:trHeight w:val="30" w:hRule="atLeast"/>
        </w:trPr>
        <w:tc>
          <w:tcPr>
            <w:tcW w:w="3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Табельный номер сотрудника (или другой знак)</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подразделение</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затрат</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фонд зарплаты, тенге</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 Значение коэффициента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Руководитель __________________ 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Главный бухгалтер __________________ 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Исполнитель  ________________________ 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"____"_____________________г.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 раздельного учета доходов,</w:t>
            </w:r>
            <w:r>
              <w:br/>
            </w:r>
            <w:r>
              <w:rPr>
                <w:rFonts w:ascii="Times New Roman"/>
                <w:b w:val="false"/>
                <w:i w:val="false"/>
                <w:color w:val="000000"/>
                <w:sz w:val="20"/>
              </w:rPr>
              <w:t>затрат и задействованных активов субъектами</w:t>
            </w:r>
            <w:r>
              <w:br/>
            </w:r>
            <w:r>
              <w:rPr>
                <w:rFonts w:ascii="Times New Roman"/>
                <w:b w:val="false"/>
                <w:i w:val="false"/>
                <w:color w:val="000000"/>
                <w:sz w:val="20"/>
              </w:rPr>
              <w:t>естественной монополии, оказывающими услуги</w:t>
            </w:r>
            <w:r>
              <w:br/>
            </w:r>
            <w:r>
              <w:rPr>
                <w:rFonts w:ascii="Times New Roman"/>
                <w:b w:val="false"/>
                <w:i w:val="false"/>
                <w:color w:val="000000"/>
                <w:sz w:val="20"/>
              </w:rPr>
              <w:t>водоснабжения и (или) водоотведения</w:t>
            </w:r>
          </w:p>
        </w:tc>
      </w:tr>
    </w:tbl>
    <w:bookmarkStart w:name="z75" w:id="70"/>
    <w:p>
      <w:pPr>
        <w:spacing w:after="0"/>
        <w:ind w:left="0"/>
        <w:jc w:val="both"/>
      </w:pPr>
      <w:r>
        <w:rPr>
          <w:rFonts w:ascii="Times New Roman"/>
          <w:b w:val="false"/>
          <w:i w:val="false"/>
          <w:color w:val="000000"/>
          <w:sz w:val="28"/>
        </w:rPr>
        <w:t xml:space="preserve">
      форма            </w:t>
      </w:r>
    </w:p>
    <w:bookmarkEnd w:id="70"/>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Наименование предприятия</w:t>
      </w:r>
    </w:p>
    <w:bookmarkStart w:name="z76" w:id="71"/>
    <w:p>
      <w:pPr>
        <w:spacing w:after="0"/>
        <w:ind w:left="0"/>
        <w:jc w:val="both"/>
      </w:pPr>
      <w:r>
        <w:rPr>
          <w:rFonts w:ascii="Times New Roman"/>
          <w:b w:val="false"/>
          <w:i w:val="false"/>
          <w:color w:val="000000"/>
          <w:sz w:val="28"/>
        </w:rPr>
        <w:t>
                        Расчет коэффициента распределения расходов периода</w:t>
      </w:r>
    </w:p>
    <w:bookmarkEnd w:id="71"/>
    <w:p>
      <w:pPr>
        <w:spacing w:after="0"/>
        <w:ind w:left="0"/>
        <w:jc w:val="both"/>
      </w:pPr>
      <w:r>
        <w:rPr>
          <w:rFonts w:ascii="Times New Roman"/>
          <w:b w:val="false"/>
          <w:i w:val="false"/>
          <w:color w:val="000000"/>
          <w:sz w:val="28"/>
        </w:rPr>
        <w:t>
                                      на _________год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537"/>
        <w:gridCol w:w="2129"/>
        <w:gridCol w:w="3906"/>
        <w:gridCol w:w="945"/>
        <w:gridCol w:w="946"/>
        <w:gridCol w:w="946"/>
        <w:gridCol w:w="946"/>
      </w:tblGrid>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затрат</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базы распределения Значение коэффициента распределения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Руководитель __________________ 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Главный бухгалтер __________________ 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Исполнитель  ________________________ 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"____"_____________________г.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