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3c2b" w14:textId="1d73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структуры разделов, форм, перечня  показателей отчета по исполнению планов развития национальных управляющих холдингов, национальных холдингов и национальных компаний, акционером которых является государство и о признании утратившим силу совместного приказа Министра финансов Республики Казахстан от 22 ноября 2012 года № 508 и Министра экономического развития и торговли Республики Казахстан от 20 ноября 2012 года № 309 "Об утверждении структуры разделов, форм, перечня  показателей отчета по исполнению планов развития национальных управляющих холдингов, национальных холдингов и национальных компаний, акционером которых является государство"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экономики и бюджетного планирования Республики Казахстан от 4 июня 2013 года № 176 и Министра финансов Республики Казахстан от 6 июня 2013 года N 260. Зарегистрирован в Министерстве юстиции Республики Казахстан 2 июля 2013 года № 8548. Утратил силу совместным приказом Министра национальной экономики Республики Казахстан от 26 мая 2015 года № 402 и Министра финансов Республики Казахстан от 27 мая 2015 года № 327</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национальной экономики РК от 26.05.2015 № 402 и Министра финансов РК от 27.05.2015 № 327.</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утвержденных постановлением Правительства Республики Казахстан от 30 мая 2011 года № 604,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структуру разделов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2) формы и перечень показателей отчета по исполнению планов развития национальных управляющих холдингов, национальных холдингов и национальных компаний, акционером которых является государство,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ноября 2012 года № 508 и Министра экономического развития и торговли Республики Казахстан от 20 ноября 2012 года № 309 «Об утверждении структуры разделов, форм, перечня показателей отчета по исполнению планов развития национальных управляющих холдингов, национальных холдингов и национальных компаний, акционером которых является государство» (зарегистрированный в Реестре государственной регистрации нормативных правовых актов Республики Казахстан от 10 декабря 2012 года № 8174).</w:t>
      </w:r>
      <w:r>
        <w:br/>
      </w:r>
      <w:r>
        <w:rPr>
          <w:rFonts w:ascii="Times New Roman"/>
          <w:b w:val="false"/>
          <w:i w:val="false"/>
          <w:color w:val="000000"/>
          <w:sz w:val="28"/>
        </w:rPr>
        <w:t>
</w:t>
      </w:r>
      <w:r>
        <w:rPr>
          <w:rFonts w:ascii="Times New Roman"/>
          <w:b w:val="false"/>
          <w:i w:val="false"/>
          <w:color w:val="000000"/>
          <w:sz w:val="28"/>
        </w:rPr>
        <w:t>
      3. Департаменту политики управления государственными активами Министерства экономики и бюджетного планирования Республики Казахстан (Калиева Д.А.)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направление на официальное опубликование настоящего совместного приказа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опубликование настоящего совместного приказа на официальном интернет-ресурсе Министерства экономики и бюджетного планирования Республики Казахстан.</w:t>
      </w:r>
      <w:r>
        <w:br/>
      </w:r>
      <w:r>
        <w:rPr>
          <w:rFonts w:ascii="Times New Roman"/>
          <w:b w:val="false"/>
          <w:i w:val="false"/>
          <w:color w:val="000000"/>
          <w:sz w:val="28"/>
        </w:rPr>
        <w:t>
</w:t>
      </w:r>
      <w:r>
        <w:rPr>
          <w:rFonts w:ascii="Times New Roman"/>
          <w:b w:val="false"/>
          <w:i w:val="false"/>
          <w:color w:val="000000"/>
          <w:sz w:val="28"/>
        </w:rPr>
        <w:t>
      4. Комитету государственного имущества и приватизации Министерства финансов Республики Казахстан (Утепов Э.К.) обеспечить внедрение в программное обеспечение «Единая система сдачи отчетности» формы и перечень показателей отчета по исполнению планов развития национальных управляющих холдингов, национальных холдингов и национальных компаний, акционером которых является государство.</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совместного приказа возложить на вице-министра финансов Республики Казахстан Тенгебаева А.М., вице-министра экономики и бюджетного планирования Республики Казахстан Кусаинова М.А.</w:t>
      </w:r>
      <w:r>
        <w:br/>
      </w:r>
      <w:r>
        <w:rPr>
          <w:rFonts w:ascii="Times New Roman"/>
          <w:b w:val="false"/>
          <w:i w:val="false"/>
          <w:color w:val="000000"/>
          <w:sz w:val="28"/>
        </w:rPr>
        <w:t>
</w:t>
      </w:r>
      <w:r>
        <w:rPr>
          <w:rFonts w:ascii="Times New Roman"/>
          <w:b w:val="false"/>
          <w:i w:val="false"/>
          <w:color w:val="000000"/>
          <w:sz w:val="28"/>
        </w:rPr>
        <w:t>
      6. Настоящий совместный приказ подлежит официальному опубликованию и вводится в действие с 1 января 2014 года.</w:t>
      </w:r>
    </w:p>
    <w:bookmarkEnd w:id="0"/>
    <w:tbl>
      <w:tblPr>
        <w:tblW w:w="0" w:type="auto"/>
        <w:tblCellSpacing w:w="0" w:type="auto"/>
        <w:tblBorders>
          <w:top w:val="none"/>
          <w:left w:val="none"/>
          <w:bottom w:val="none"/>
          <w:right w:val="none"/>
          <w:insideH w:val="none"/>
          <w:insideV w:val="none"/>
        </w:tblBorders>
      </w:tblPr>
      <w:tblGrid>
        <w:gridCol w:w="4873"/>
        <w:gridCol w:w="2796"/>
        <w:gridCol w:w="5471"/>
      </w:tblGrid>
      <w:tr>
        <w:trPr>
          <w:trHeight w:val="75" w:hRule="atLeast"/>
        </w:trPr>
        <w:tc>
          <w:tcPr>
            <w:tcW w:w="487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финансов</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__________Б. Жамишев</w:t>
            </w:r>
          </w:p>
        </w:tc>
        <w:tc>
          <w:tcPr>
            <w:tcW w:w="2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экономики и</w:t>
            </w:r>
            <w:r>
              <w:br/>
            </w:r>
            <w:r>
              <w:rPr>
                <w:rFonts w:ascii="Times New Roman"/>
                <w:b w:val="false"/>
                <w:i w:val="false"/>
                <w:color w:val="000000"/>
                <w:sz w:val="20"/>
              </w:rPr>
              <w:t>
</w:t>
            </w:r>
            <w:r>
              <w:rPr>
                <w:rFonts w:ascii="Times New Roman"/>
                <w:b w:val="false"/>
                <w:i/>
                <w:color w:val="000000"/>
                <w:sz w:val="20"/>
              </w:rPr>
              <w:t>бюджетного планирования</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 Е. Досаев</w:t>
            </w:r>
          </w:p>
        </w:tc>
      </w:tr>
    </w:tbl>
    <w:bookmarkStart w:name="z1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финансов Республики Казахстан   </w:t>
      </w:r>
      <w:r>
        <w:br/>
      </w:r>
      <w:r>
        <w:rPr>
          <w:rFonts w:ascii="Times New Roman"/>
          <w:b w:val="false"/>
          <w:i w:val="false"/>
          <w:color w:val="000000"/>
          <w:sz w:val="28"/>
        </w:rPr>
        <w:t xml:space="preserve">
от 6 июня 2013 года № 260         </w:t>
      </w:r>
      <w:r>
        <w:br/>
      </w:r>
      <w:r>
        <w:rPr>
          <w:rFonts w:ascii="Times New Roman"/>
          <w:b w:val="false"/>
          <w:i w:val="false"/>
          <w:color w:val="000000"/>
          <w:sz w:val="28"/>
        </w:rPr>
        <w:t>
и Министра экономики и бюджетного планирования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июня 2013 года № 176          </w:t>
      </w:r>
    </w:p>
    <w:bookmarkEnd w:id="1"/>
    <w:bookmarkStart w:name="z11" w:id="2"/>
    <w:p>
      <w:pPr>
        <w:spacing w:after="0"/>
        <w:ind w:left="0"/>
        <w:jc w:val="both"/>
      </w:pPr>
      <w:r>
        <w:rPr>
          <w:rFonts w:ascii="Times New Roman"/>
          <w:b w:val="false"/>
          <w:i w:val="false"/>
          <w:color w:val="000000"/>
          <w:sz w:val="28"/>
        </w:rPr>
        <w:t>
</w:t>
      </w:r>
      <w:r>
        <w:rPr>
          <w:rFonts w:ascii="Times New Roman"/>
          <w:b/>
          <w:i w:val="false"/>
          <w:color w:val="000000"/>
          <w:sz w:val="28"/>
        </w:rPr>
        <w:t>                         Структура</w:t>
      </w:r>
      <w:r>
        <w:br/>
      </w:r>
      <w:r>
        <w:rPr>
          <w:rFonts w:ascii="Times New Roman"/>
          <w:b w:val="false"/>
          <w:i w:val="false"/>
          <w:color w:val="000000"/>
          <w:sz w:val="28"/>
        </w:rPr>
        <w:t>
</w:t>
      </w:r>
      <w:r>
        <w:rPr>
          <w:rFonts w:ascii="Times New Roman"/>
          <w:b/>
          <w:i w:val="false"/>
          <w:color w:val="000000"/>
          <w:sz w:val="28"/>
        </w:rPr>
        <w:t>       разделов отчета по исполнению планов развития</w:t>
      </w:r>
      <w:r>
        <w:br/>
      </w:r>
      <w:r>
        <w:rPr>
          <w:rFonts w:ascii="Times New Roman"/>
          <w:b w:val="false"/>
          <w:i w:val="false"/>
          <w:color w:val="000000"/>
          <w:sz w:val="28"/>
        </w:rPr>
        <w:t>
</w:t>
      </w:r>
      <w:r>
        <w:rPr>
          <w:rFonts w:ascii="Times New Roman"/>
          <w:b/>
          <w:i w:val="false"/>
          <w:color w:val="000000"/>
          <w:sz w:val="28"/>
        </w:rPr>
        <w:t>     национальных управляющих холдингов, национальных</w:t>
      </w:r>
      <w:r>
        <w:br/>
      </w:r>
      <w:r>
        <w:rPr>
          <w:rFonts w:ascii="Times New Roman"/>
          <w:b w:val="false"/>
          <w:i w:val="false"/>
          <w:color w:val="000000"/>
          <w:sz w:val="28"/>
        </w:rPr>
        <w:t>
</w:t>
      </w:r>
      <w:r>
        <w:rPr>
          <w:rFonts w:ascii="Times New Roman"/>
          <w:b/>
          <w:i w:val="false"/>
          <w:color w:val="000000"/>
          <w:sz w:val="28"/>
        </w:rPr>
        <w:t>   холдингов, национальных компаний, акционером которых</w:t>
      </w:r>
      <w:r>
        <w:br/>
      </w:r>
      <w:r>
        <w:rPr>
          <w:rFonts w:ascii="Times New Roman"/>
          <w:b w:val="false"/>
          <w:i w:val="false"/>
          <w:color w:val="000000"/>
          <w:sz w:val="28"/>
        </w:rPr>
        <w:t>
</w:t>
      </w:r>
      <w:r>
        <w:rPr>
          <w:rFonts w:ascii="Times New Roman"/>
          <w:b/>
          <w:i w:val="false"/>
          <w:color w:val="000000"/>
          <w:sz w:val="28"/>
        </w:rPr>
        <w:t>                    является государство</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0669"/>
      </w:tblGrid>
      <w:tr>
        <w:trPr>
          <w:trHeight w:val="13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Компании</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создании Компании</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корпоративная структура управления Компании</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организационная структура Компании</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заимствования и график погашения</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задачи и ключевые показатели</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Плана развития:</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достижению производственных результатов</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привлечению займов и их обоснование</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дивидендной политике и их обоснование</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реструктуризации активов и их обоснование</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увеличению местного содержания</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Отношения с бюджетом:</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из республиканского бюджета и местных бюджетов</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налогов и других обязательных платежей в бюджет</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дивидендов на государственный пакет акций</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инвестиций и капитальных вложений Компании</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временно свободными денежными средствами, политика их размещения</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Кадровая политика Компании</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 охрана труда и техники безопасности</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ключевые показатели Компании, а также основные консолидированные и неконсолидированные показатели Компании и консолидированные показатели юридических лиц, акции (доли участия) которых предоставляют право Компании прямо определять решения, принимаемые данными юридическими лицами (доходы, расходы, инвестиции, дивиденды, финансовый результат, займы и другие сведения):</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 </w:t>
            </w:r>
          </w:p>
        </w:tc>
      </w:tr>
      <w:tr>
        <w:trPr>
          <w:trHeight w:val="21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21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tc>
      </w:tr>
    </w:tbl>
    <w:p>
      <w:pPr>
        <w:spacing w:after="0"/>
        <w:ind w:left="0"/>
        <w:jc w:val="both"/>
      </w:pPr>
      <w:r>
        <w:rPr>
          <w:rFonts w:ascii="Times New Roman"/>
          <w:b w:val="false"/>
          <w:i w:val="false"/>
          <w:color w:val="000000"/>
          <w:sz w:val="28"/>
        </w:rPr>
        <w:t>      Отчет может быть дополнен другими пунктами и приложениями, когда такое дополнение уместно для раскрытия итогов деятельности за отчетный период.</w:t>
      </w:r>
      <w:r>
        <w:br/>
      </w:r>
      <w:r>
        <w:rPr>
          <w:rFonts w:ascii="Times New Roman"/>
          <w:b w:val="false"/>
          <w:i w:val="false"/>
          <w:color w:val="000000"/>
          <w:sz w:val="28"/>
        </w:rPr>
        <w:t>
      В случае дополнения Отчета пунктами, каждый дополнительно представляемый пункт должен иметь соответствующее наименование.</w:t>
      </w:r>
    </w:p>
    <w:bookmarkStart w:name="z12"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финансов Республики Казахстан   </w:t>
      </w:r>
      <w:r>
        <w:br/>
      </w:r>
      <w:r>
        <w:rPr>
          <w:rFonts w:ascii="Times New Roman"/>
          <w:b w:val="false"/>
          <w:i w:val="false"/>
          <w:color w:val="000000"/>
          <w:sz w:val="28"/>
        </w:rPr>
        <w:t xml:space="preserve">
от 6 июня 2013 года № 260         </w:t>
      </w:r>
      <w:r>
        <w:br/>
      </w:r>
      <w:r>
        <w:rPr>
          <w:rFonts w:ascii="Times New Roman"/>
          <w:b w:val="false"/>
          <w:i w:val="false"/>
          <w:color w:val="000000"/>
          <w:sz w:val="28"/>
        </w:rPr>
        <w:t>
и Министра экономики и бюджетного планирования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июня 2013 года № 176          </w:t>
      </w:r>
    </w:p>
    <w:bookmarkEnd w:id="3"/>
    <w:bookmarkStart w:name="z13" w:id="4"/>
    <w:p>
      <w:pPr>
        <w:spacing w:after="0"/>
        <w:ind w:left="0"/>
        <w:jc w:val="both"/>
      </w:pPr>
      <w:r>
        <w:rPr>
          <w:rFonts w:ascii="Times New Roman"/>
          <w:b w:val="false"/>
          <w:i w:val="false"/>
          <w:color w:val="000000"/>
          <w:sz w:val="28"/>
        </w:rPr>
        <w:t>
</w:t>
      </w:r>
      <w:r>
        <w:rPr>
          <w:rFonts w:ascii="Times New Roman"/>
          <w:b/>
          <w:i w:val="false"/>
          <w:color w:val="000000"/>
          <w:sz w:val="28"/>
        </w:rPr>
        <w:t>            Формы и перечень показателей отчета по исполнению</w:t>
      </w:r>
      <w:r>
        <w:br/>
      </w:r>
      <w:r>
        <w:rPr>
          <w:rFonts w:ascii="Times New Roman"/>
          <w:b w:val="false"/>
          <w:i w:val="false"/>
          <w:color w:val="000000"/>
          <w:sz w:val="28"/>
        </w:rPr>
        <w:t>
</w:t>
      </w:r>
      <w:r>
        <w:rPr>
          <w:rFonts w:ascii="Times New Roman"/>
          <w:b/>
          <w:i w:val="false"/>
          <w:color w:val="000000"/>
          <w:sz w:val="28"/>
        </w:rPr>
        <w:t>           планов развития национальных управляющих холдингов,</w:t>
      </w:r>
      <w:r>
        <w:br/>
      </w:r>
      <w:r>
        <w:rPr>
          <w:rFonts w:ascii="Times New Roman"/>
          <w:b w:val="false"/>
          <w:i w:val="false"/>
          <w:color w:val="000000"/>
          <w:sz w:val="28"/>
        </w:rPr>
        <w:t>
</w:t>
      </w:r>
      <w:r>
        <w:rPr>
          <w:rFonts w:ascii="Times New Roman"/>
          <w:b/>
          <w:i w:val="false"/>
          <w:color w:val="000000"/>
          <w:sz w:val="28"/>
        </w:rPr>
        <w:t>            национальных холдингов и национальных компаний</w:t>
      </w:r>
      <w:r>
        <w:br/>
      </w:r>
      <w:r>
        <w:rPr>
          <w:rFonts w:ascii="Times New Roman"/>
          <w:b w:val="false"/>
          <w:i w:val="false"/>
          <w:color w:val="000000"/>
          <w:sz w:val="28"/>
        </w:rPr>
        <w:t>
</w:t>
      </w:r>
      <w:r>
        <w:rPr>
          <w:rFonts w:ascii="Times New Roman"/>
          <w:b/>
          <w:i w:val="false"/>
          <w:color w:val="000000"/>
          <w:sz w:val="28"/>
        </w:rPr>
        <w:t>              с участием государства в уставном капитале</w:t>
      </w:r>
    </w:p>
    <w:bookmarkEnd w:id="4"/>
    <w:bookmarkStart w:name="z14" w:id="5"/>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r>
        <w:br/>
      </w:r>
      <w:r>
        <w:rPr>
          <w:rFonts w:ascii="Times New Roman"/>
          <w:b w:val="false"/>
          <w:i w:val="false"/>
          <w:color w:val="000000"/>
          <w:sz w:val="28"/>
        </w:rPr>
        <w:t>
</w:t>
      </w:r>
      <w:r>
        <w:rPr>
          <w:rFonts w:ascii="Times New Roman"/>
          <w:b w:val="false"/>
          <w:i w:val="false"/>
          <w:color w:val="000000"/>
          <w:sz w:val="28"/>
        </w:rPr>
        <w:t>
      1.1. информация о создании Компании:</w:t>
      </w:r>
    </w:p>
    <w:bookmarkEnd w:id="5"/>
    <w:bookmarkStart w:name="z56" w:id="6"/>
    <w:p>
      <w:pPr>
        <w:spacing w:after="0"/>
        <w:ind w:left="0"/>
        <w:jc w:val="both"/>
      </w:pPr>
      <w:r>
        <w:rPr>
          <w:rFonts w:ascii="Times New Roman"/>
          <w:b w:val="false"/>
          <w:i w:val="false"/>
          <w:color w:val="000000"/>
          <w:sz w:val="28"/>
        </w:rPr>
        <w:t>
                                                            форма 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6752"/>
        <w:gridCol w:w="2054"/>
        <w:gridCol w:w="1870"/>
        <w:gridCol w:w="1686"/>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 (e-mail),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(бизнес-идентификационный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ID-код (универсальный </w:t>
            </w:r>
            <w:r>
              <w:rPr>
                <w:rFonts w:ascii="Times New Roman"/>
                <w:b w:val="false"/>
                <w:i w:val="false"/>
                <w:color w:val="000000"/>
                <w:sz w:val="20"/>
              </w:rPr>
              <w:t>идентификационный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номер государственной регистрации (перерегистрации) в органах юстиции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 управления (государственный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история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постановления Правительства Республики Казахстан о создании (реорганизации)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деятельности в соответствии с учредительными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субъектом естественной монополии, сфера естественной монополии, когда принято решение о включении организации в государственный регистр субъектов естественных монополий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природопользователем:</w:t>
            </w:r>
            <w:r>
              <w:br/>
            </w:r>
            <w:r>
              <w:rPr>
                <w:rFonts w:ascii="Times New Roman"/>
                <w:b w:val="false"/>
                <w:i w:val="false"/>
                <w:color w:val="000000"/>
                <w:sz w:val="20"/>
              </w:rPr>
              <w:t>
</w:t>
            </w:r>
            <w:r>
              <w:rPr>
                <w:rFonts w:ascii="Times New Roman"/>
                <w:b w:val="false"/>
                <w:i w:val="false"/>
                <w:color w:val="000000"/>
                <w:sz w:val="20"/>
              </w:rPr>
              <w:t>кем и когда предоставлено право специального природопользования, раскрыть характеристику природопользования (постоянное или временное, отчуждаемое или неотчуждаемое, приобретенное на возмездной основе или безвозмездно, первичное или вторичное)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недропользователем:</w:t>
            </w:r>
            <w:r>
              <w:br/>
            </w:r>
            <w:r>
              <w:rPr>
                <w:rFonts w:ascii="Times New Roman"/>
                <w:b w:val="false"/>
                <w:i w:val="false"/>
                <w:color w:val="000000"/>
                <w:sz w:val="20"/>
              </w:rPr>
              <w:t>
</w:t>
            </w:r>
            <w:r>
              <w:rPr>
                <w:rFonts w:ascii="Times New Roman"/>
                <w:b w:val="false"/>
                <w:i w:val="false"/>
                <w:color w:val="000000"/>
                <w:sz w:val="20"/>
              </w:rPr>
              <w:t>кем и когда предоставлено право на недропользование, раскрыть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уставного капитала в соответствии с учредительными документами,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и кем принимались решения об увеличении уставного капитала (постановление Правительства Республики Казахстан, приказ органа государственного управления, решение общего собрания акционеров (участников)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акций, всего, 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объявленные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размещенные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стоимость одной акции,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находящиеся в республиканской собственности, всего, 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7"/>
    <w:p>
      <w:pPr>
        <w:spacing w:after="0"/>
        <w:ind w:left="0"/>
        <w:jc w:val="both"/>
      </w:pPr>
      <w:r>
        <w:rPr>
          <w:rFonts w:ascii="Times New Roman"/>
          <w:b w:val="false"/>
          <w:i w:val="false"/>
          <w:color w:val="000000"/>
          <w:sz w:val="28"/>
        </w:rPr>
        <w:t>
      1.2. корпоративная структура управления Компании (участие Компании в юридических лицах, акции (доли участия) которых ей принадлежат с указанием размера пакета акций (доли участия):</w:t>
      </w:r>
    </w:p>
    <w:bookmarkEnd w:id="7"/>
    <w:bookmarkStart w:name="z55" w:id="8"/>
    <w:p>
      <w:pPr>
        <w:spacing w:after="0"/>
        <w:ind w:left="0"/>
        <w:jc w:val="both"/>
      </w:pPr>
      <w:r>
        <w:rPr>
          <w:rFonts w:ascii="Times New Roman"/>
          <w:b w:val="false"/>
          <w:i w:val="false"/>
          <w:color w:val="000000"/>
          <w:sz w:val="28"/>
        </w:rPr>
        <w:t>
                                                      форма 2</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413"/>
        <w:gridCol w:w="65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 акции (доли участия) которых принадлежат Компании</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пакета акций (доли участия),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9"/>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r>
        <w:br/>
      </w:r>
      <w:r>
        <w:rPr>
          <w:rFonts w:ascii="Times New Roman"/>
          <w:b w:val="false"/>
          <w:i w:val="false"/>
          <w:color w:val="000000"/>
          <w:sz w:val="28"/>
        </w:rPr>
        <w:t>
</w:t>
      </w:r>
      <w:r>
        <w:rPr>
          <w:rFonts w:ascii="Times New Roman"/>
          <w:b w:val="false"/>
          <w:i w:val="false"/>
          <w:color w:val="000000"/>
          <w:sz w:val="28"/>
        </w:rPr>
        <w:t>
      2. Структура заимствований и график погашения в разрезе внутреннего и внешнего заимствования (в том числе дочерних организаций):</w:t>
      </w:r>
    </w:p>
    <w:bookmarkEnd w:id="9"/>
    <w:bookmarkStart w:name="z19" w:id="10"/>
    <w:p>
      <w:pPr>
        <w:spacing w:after="0"/>
        <w:ind w:left="0"/>
        <w:jc w:val="both"/>
      </w:pPr>
      <w:r>
        <w:rPr>
          <w:rFonts w:ascii="Times New Roman"/>
          <w:b w:val="false"/>
          <w:i w:val="false"/>
          <w:color w:val="000000"/>
          <w:sz w:val="28"/>
        </w:rPr>
        <w:t>
                                                            форма 3</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425"/>
        <w:gridCol w:w="1164"/>
        <w:gridCol w:w="1164"/>
        <w:gridCol w:w="1164"/>
        <w:gridCol w:w="523"/>
        <w:gridCol w:w="832"/>
        <w:gridCol w:w="1209"/>
        <w:gridCol w:w="1386"/>
        <w:gridCol w:w="1209"/>
        <w:gridCol w:w="365"/>
        <w:gridCol w:w="1476"/>
      </w:tblGrid>
      <w:tr>
        <w:trPr>
          <w:trHeight w:val="25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Заимода-</w:t>
            </w:r>
            <w:r>
              <w:br/>
            </w:r>
            <w:r>
              <w:rPr>
                <w:rFonts w:ascii="Times New Roman"/>
                <w:b w:val="false"/>
                <w:i w:val="false"/>
                <w:color w:val="000000"/>
                <w:sz w:val="20"/>
              </w:rPr>
              <w:t>
</w:t>
            </w:r>
            <w:r>
              <w:rPr>
                <w:rFonts w:ascii="Times New Roman"/>
                <w:b w:val="false"/>
                <w:i w:val="false"/>
                <w:color w:val="000000"/>
                <w:sz w:val="20"/>
              </w:rPr>
              <w:t>тель</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заимство-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заимствования</w:t>
            </w:r>
            <w:r>
              <w:br/>
            </w:r>
            <w:r>
              <w:rPr>
                <w:rFonts w:ascii="Times New Roman"/>
                <w:b w:val="false"/>
                <w:i w:val="false"/>
                <w:color w:val="000000"/>
                <w:sz w:val="20"/>
              </w:rPr>
              <w:t>
</w:t>
            </w:r>
            <w:r>
              <w:rPr>
                <w:rFonts w:ascii="Times New Roman"/>
                <w:b w:val="false"/>
                <w:i w:val="false"/>
                <w:color w:val="000000"/>
                <w:sz w:val="20"/>
              </w:rPr>
              <w:t>(Договор гарантии)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Условия займа </w:t>
            </w:r>
            <w:r>
              <w:rPr>
                <w:rFonts w:ascii="Times New Roman"/>
                <w:b w:val="false"/>
                <w:i w:val="false"/>
                <w:color w:val="000000"/>
                <w:sz w:val="20"/>
              </w:rPr>
              <w:t>(Условия гарантии)</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 договору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освоения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условия</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заимствования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заимствования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продолжение таблицы: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157"/>
        <w:gridCol w:w="938"/>
        <w:gridCol w:w="938"/>
        <w:gridCol w:w="1151"/>
        <w:gridCol w:w="1151"/>
        <w:gridCol w:w="937"/>
        <w:gridCol w:w="937"/>
        <w:gridCol w:w="937"/>
        <w:gridCol w:w="937"/>
        <w:gridCol w:w="938"/>
        <w:gridCol w:w="938"/>
        <w:gridCol w:w="740"/>
        <w:gridCol w:w="74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займа</w:t>
            </w:r>
            <w:r>
              <w:br/>
            </w:r>
            <w:r>
              <w:rPr>
                <w:rFonts w:ascii="Times New Roman"/>
                <w:b w:val="false"/>
                <w:i w:val="false"/>
                <w:color w:val="000000"/>
                <w:sz w:val="20"/>
              </w:rPr>
              <w:t>
</w:t>
            </w:r>
            <w:r>
              <w:rPr>
                <w:rFonts w:ascii="Times New Roman"/>
                <w:b w:val="false"/>
                <w:i w:val="false"/>
                <w:color w:val="000000"/>
                <w:sz w:val="20"/>
              </w:rPr>
              <w:t>(Срок гарантируемого займа)</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обеспе-</w:t>
            </w:r>
            <w:r>
              <w:br/>
            </w:r>
            <w:r>
              <w:rPr>
                <w:rFonts w:ascii="Times New Roman"/>
                <w:b w:val="false"/>
                <w:i w:val="false"/>
                <w:color w:val="000000"/>
                <w:sz w:val="20"/>
              </w:rPr>
              <w:t>
</w:t>
            </w:r>
            <w:r>
              <w:rPr>
                <w:rFonts w:ascii="Times New Roman"/>
                <w:b w:val="false"/>
                <w:i w:val="false"/>
                <w:color w:val="000000"/>
                <w:sz w:val="20"/>
              </w:rPr>
              <w:t>чения по займу</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основ-</w:t>
            </w:r>
            <w:r>
              <w:br/>
            </w:r>
            <w:r>
              <w:rPr>
                <w:rFonts w:ascii="Times New Roman"/>
                <w:b w:val="false"/>
                <w:i w:val="false"/>
                <w:color w:val="000000"/>
                <w:sz w:val="20"/>
              </w:rPr>
              <w:t>
</w:t>
            </w:r>
            <w:r>
              <w:rPr>
                <w:rFonts w:ascii="Times New Roman"/>
                <w:b w:val="false"/>
                <w:i w:val="false"/>
                <w:color w:val="000000"/>
                <w:sz w:val="20"/>
              </w:rPr>
              <w:t>ного долга (ОД) на отчет-</w:t>
            </w:r>
            <w:r>
              <w:br/>
            </w:r>
            <w:r>
              <w:rPr>
                <w:rFonts w:ascii="Times New Roman"/>
                <w:b w:val="false"/>
                <w:i w:val="false"/>
                <w:color w:val="000000"/>
                <w:sz w:val="20"/>
              </w:rPr>
              <w:t>
</w:t>
            </w:r>
            <w:r>
              <w:rPr>
                <w:rFonts w:ascii="Times New Roman"/>
                <w:b w:val="false"/>
                <w:i w:val="false"/>
                <w:color w:val="000000"/>
                <w:sz w:val="20"/>
              </w:rPr>
              <w:t>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 20XX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20XX</w:t>
            </w:r>
          </w:p>
        </w:tc>
      </w:tr>
      <w:tr>
        <w:trPr>
          <w:trHeight w:val="198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освое-</w:t>
            </w:r>
            <w:r>
              <w:br/>
            </w:r>
            <w:r>
              <w:rPr>
                <w:rFonts w:ascii="Times New Roman"/>
                <w:b w:val="false"/>
                <w:i w:val="false"/>
                <w:color w:val="000000"/>
                <w:sz w:val="20"/>
              </w:rPr>
              <w:t>
</w:t>
            </w:r>
            <w:r>
              <w:rPr>
                <w:rFonts w:ascii="Times New Roman"/>
                <w:b w:val="false"/>
                <w:i w:val="false"/>
                <w:color w:val="000000"/>
                <w:sz w:val="20"/>
              </w:rPr>
              <w:t>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истече-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доступ-</w:t>
            </w:r>
            <w:r>
              <w:br/>
            </w:r>
            <w:r>
              <w:rPr>
                <w:rFonts w:ascii="Times New Roman"/>
                <w:b w:val="false"/>
                <w:i w:val="false"/>
                <w:color w:val="000000"/>
                <w:sz w:val="20"/>
              </w:rPr>
              <w:t>
</w:t>
            </w:r>
            <w:r>
              <w:rPr>
                <w:rFonts w:ascii="Times New Roman"/>
                <w:b w:val="false"/>
                <w:i w:val="false"/>
                <w:color w:val="000000"/>
                <w:sz w:val="20"/>
              </w:rPr>
              <w:t>ности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пога-</w:t>
            </w:r>
            <w:r>
              <w:br/>
            </w:r>
            <w:r>
              <w:rPr>
                <w:rFonts w:ascii="Times New Roman"/>
                <w:b w:val="false"/>
                <w:i w:val="false"/>
                <w:color w:val="000000"/>
                <w:sz w:val="20"/>
              </w:rPr>
              <w:t>
</w:t>
            </w:r>
            <w:r>
              <w:rPr>
                <w:rFonts w:ascii="Times New Roman"/>
                <w:b w:val="false"/>
                <w:i w:val="false"/>
                <w:color w:val="000000"/>
                <w:sz w:val="20"/>
              </w:rPr>
              <w:t>шения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в днях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лата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лата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ОД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лата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ОД</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лата %</w:t>
            </w:r>
          </w:p>
        </w:tc>
      </w:tr>
      <w:tr>
        <w:trPr>
          <w:trHeight w:val="25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20"/>
        <w:gridCol w:w="739"/>
        <w:gridCol w:w="581"/>
        <w:gridCol w:w="1306"/>
        <w:gridCol w:w="580"/>
        <w:gridCol w:w="919"/>
        <w:gridCol w:w="739"/>
        <w:gridCol w:w="739"/>
        <w:gridCol w:w="1599"/>
        <w:gridCol w:w="716"/>
        <w:gridCol w:w="943"/>
        <w:gridCol w:w="944"/>
        <w:gridCol w:w="739"/>
        <w:gridCol w:w="1376"/>
      </w:tblGrid>
      <w:tr>
        <w:trPr>
          <w:trHeight w:val="25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 на начало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w:t>
            </w:r>
          </w:p>
        </w:tc>
      </w:tr>
      <w:tr>
        <w:trPr>
          <w:trHeight w:val="9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 xml:space="preserve">ровка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w:t>
            </w:r>
            <w:r>
              <w:br/>
            </w:r>
            <w:r>
              <w:rPr>
                <w:rFonts w:ascii="Times New Roman"/>
                <w:b w:val="false"/>
                <w:i w:val="false"/>
                <w:color w:val="000000"/>
                <w:sz w:val="20"/>
              </w:rPr>
              <w:t>
</w:t>
            </w:r>
            <w:r>
              <w:rPr>
                <w:rFonts w:ascii="Times New Roman"/>
                <w:b w:val="false"/>
                <w:i w:val="false"/>
                <w:color w:val="000000"/>
                <w:sz w:val="20"/>
              </w:rPr>
              <w:t>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w:t>
            </w:r>
            <w:r>
              <w:br/>
            </w:r>
            <w:r>
              <w:rPr>
                <w:rFonts w:ascii="Times New Roman"/>
                <w:b w:val="false"/>
                <w:i w:val="false"/>
                <w:color w:val="000000"/>
                <w:sz w:val="20"/>
              </w:rPr>
              <w:t>
</w:t>
            </w:r>
            <w:r>
              <w:rPr>
                <w:rFonts w:ascii="Times New Roman"/>
                <w:b w:val="false"/>
                <w:i w:val="false"/>
                <w:color w:val="000000"/>
                <w:sz w:val="20"/>
              </w:rPr>
              <w:t>ния</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xml:space="preserve">
      3.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за отчетный период: </w:t>
      </w:r>
    </w:p>
    <w:bookmarkEnd w:id="12"/>
    <w:bookmarkStart w:name="z18" w:id="13"/>
    <w:p>
      <w:pPr>
        <w:spacing w:after="0"/>
        <w:ind w:left="0"/>
        <w:jc w:val="both"/>
      </w:pPr>
      <w:r>
        <w:rPr>
          <w:rFonts w:ascii="Times New Roman"/>
          <w:b w:val="false"/>
          <w:i w:val="false"/>
          <w:color w:val="000000"/>
          <w:sz w:val="28"/>
        </w:rPr>
        <w:t>
                                                            форма 4</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703"/>
        <w:gridCol w:w="2295"/>
        <w:gridCol w:w="1514"/>
        <w:gridCol w:w="903"/>
        <w:gridCol w:w="1518"/>
        <w:gridCol w:w="1518"/>
        <w:gridCol w:w="904"/>
        <w:gridCol w:w="1732"/>
      </w:tblGrid>
      <w:tr>
        <w:trPr>
          <w:trHeight w:val="3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Стратегии развития Компании*</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Стратегии развития Компании</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показатели Стратегии развития Компании (количественные или качественные)</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ключевых показателей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30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1</w:t>
            </w:r>
          </w:p>
        </w:tc>
      </w:tr>
      <w:tr>
        <w:trPr>
          <w:trHeight w:val="255"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n</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n </w:t>
            </w:r>
          </w:p>
        </w:tc>
      </w:tr>
      <w:tr>
        <w:trPr>
          <w:trHeight w:val="30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n</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14"/>
    <w:p>
      <w:pPr>
        <w:spacing w:after="0"/>
        <w:ind w:left="0"/>
        <w:jc w:val="both"/>
      </w:pPr>
      <w:r>
        <w:rPr>
          <w:rFonts w:ascii="Times New Roman"/>
          <w:b w:val="false"/>
          <w:i w:val="false"/>
          <w:color w:val="000000"/>
          <w:sz w:val="28"/>
        </w:rPr>
        <w:t>
      * с учетом стратегических направлений деятельности, указанных в Стратегии развития Компании.</w:t>
      </w:r>
    </w:p>
    <w:bookmarkEnd w:id="14"/>
    <w:bookmarkStart w:name="z20" w:id="15"/>
    <w:p>
      <w:pPr>
        <w:spacing w:after="0"/>
        <w:ind w:left="0"/>
        <w:jc w:val="both"/>
      </w:pPr>
      <w:r>
        <w:rPr>
          <w:rFonts w:ascii="Times New Roman"/>
          <w:b w:val="false"/>
          <w:i w:val="false"/>
          <w:color w:val="000000"/>
          <w:sz w:val="28"/>
        </w:rPr>
        <w:t>
      4. Мероприятия по реализации Плана развития за отчетный период, с учетом стратегических направлений деятельности, указанных в Стратегии развития Компании, в том числе по:</w:t>
      </w:r>
      <w:r>
        <w:br/>
      </w:r>
      <w:r>
        <w:rPr>
          <w:rFonts w:ascii="Times New Roman"/>
          <w:b w:val="false"/>
          <w:i w:val="false"/>
          <w:color w:val="000000"/>
          <w:sz w:val="28"/>
        </w:rPr>
        <w:t>
</w:t>
      </w:r>
      <w:r>
        <w:rPr>
          <w:rFonts w:ascii="Times New Roman"/>
          <w:b w:val="false"/>
          <w:i w:val="false"/>
          <w:color w:val="000000"/>
          <w:sz w:val="28"/>
        </w:rPr>
        <w:t>
      4.1. достижению производственных результатов:</w:t>
      </w:r>
    </w:p>
    <w:bookmarkEnd w:id="15"/>
    <w:bookmarkStart w:name="z21" w:id="16"/>
    <w:p>
      <w:pPr>
        <w:spacing w:after="0"/>
        <w:ind w:left="0"/>
        <w:jc w:val="both"/>
      </w:pPr>
      <w:r>
        <w:rPr>
          <w:rFonts w:ascii="Times New Roman"/>
          <w:b w:val="false"/>
          <w:i w:val="false"/>
          <w:color w:val="000000"/>
          <w:sz w:val="28"/>
        </w:rPr>
        <w:t>
                                                            форма 5</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2122"/>
        <w:gridCol w:w="1299"/>
        <w:gridCol w:w="1110"/>
        <w:gridCol w:w="2480"/>
        <w:gridCol w:w="2312"/>
        <w:gridCol w:w="1110"/>
        <w:gridCol w:w="2208"/>
      </w:tblGrid>
      <w:tr>
        <w:trPr>
          <w:trHeight w:val="195"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показатели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1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17"/>
    <w:p>
      <w:pPr>
        <w:spacing w:after="0"/>
        <w:ind w:left="0"/>
        <w:jc w:val="both"/>
      </w:pPr>
      <w:r>
        <w:rPr>
          <w:rFonts w:ascii="Times New Roman"/>
          <w:b w:val="false"/>
          <w:i w:val="false"/>
          <w:color w:val="000000"/>
          <w:sz w:val="28"/>
        </w:rPr>
        <w:t>
      4.2. привлечению займов и их обоснование (представляется ежеквартально, до 10-го числа месяца, следующего за отчетным месяцем, в Реестр государственных предприятий и учреждений, юридических лиц с участием государства в уставном капитале):</w:t>
      </w:r>
    </w:p>
    <w:bookmarkEnd w:id="17"/>
    <w:bookmarkStart w:name="z22" w:id="18"/>
    <w:p>
      <w:pPr>
        <w:spacing w:after="0"/>
        <w:ind w:left="0"/>
        <w:jc w:val="both"/>
      </w:pPr>
      <w:r>
        <w:rPr>
          <w:rFonts w:ascii="Times New Roman"/>
          <w:b w:val="false"/>
          <w:i w:val="false"/>
          <w:color w:val="000000"/>
          <w:sz w:val="28"/>
        </w:rPr>
        <w:t>
                                                            форма 6</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189"/>
        <w:gridCol w:w="959"/>
        <w:gridCol w:w="959"/>
        <w:gridCol w:w="465"/>
        <w:gridCol w:w="654"/>
        <w:gridCol w:w="986"/>
        <w:gridCol w:w="536"/>
        <w:gridCol w:w="1222"/>
        <w:gridCol w:w="533"/>
        <w:gridCol w:w="769"/>
        <w:gridCol w:w="769"/>
        <w:gridCol w:w="533"/>
        <w:gridCol w:w="770"/>
        <w:gridCol w:w="531"/>
        <w:gridCol w:w="766"/>
        <w:gridCol w:w="766"/>
        <w:gridCol w:w="439"/>
        <w:gridCol w:w="538"/>
      </w:tblGrid>
      <w:tr>
        <w:trPr>
          <w:trHeight w:val="22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заим-</w:t>
            </w:r>
            <w:r>
              <w:br/>
            </w:r>
            <w:r>
              <w:rPr>
                <w:rFonts w:ascii="Times New Roman"/>
                <w:b w:val="false"/>
                <w:i w:val="false"/>
                <w:color w:val="000000"/>
                <w:sz w:val="20"/>
              </w:rPr>
              <w:t>
</w:t>
            </w:r>
            <w:r>
              <w:rPr>
                <w:rFonts w:ascii="Times New Roman"/>
                <w:b w:val="false"/>
                <w:i w:val="false"/>
                <w:color w:val="000000"/>
                <w:sz w:val="20"/>
              </w:rPr>
              <w:t>ствова-</w:t>
            </w:r>
            <w:r>
              <w:br/>
            </w:r>
            <w:r>
              <w:rPr>
                <w:rFonts w:ascii="Times New Roman"/>
                <w:b w:val="false"/>
                <w:i w:val="false"/>
                <w:color w:val="000000"/>
                <w:sz w:val="20"/>
              </w:rPr>
              <w:t>
</w:t>
            </w:r>
            <w:r>
              <w:rPr>
                <w:rFonts w:ascii="Times New Roman"/>
                <w:b w:val="false"/>
                <w:i w:val="false"/>
                <w:color w:val="000000"/>
                <w:sz w:val="20"/>
              </w:rPr>
              <w:t xml:space="preserve">ния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заим-</w:t>
            </w:r>
            <w:r>
              <w:br/>
            </w:r>
            <w:r>
              <w:rPr>
                <w:rFonts w:ascii="Times New Roman"/>
                <w:b w:val="false"/>
                <w:i w:val="false"/>
                <w:color w:val="000000"/>
                <w:sz w:val="20"/>
              </w:rPr>
              <w:t>
</w:t>
            </w:r>
            <w:r>
              <w:rPr>
                <w:rFonts w:ascii="Times New Roman"/>
                <w:b w:val="false"/>
                <w:i w:val="false"/>
                <w:color w:val="000000"/>
                <w:sz w:val="20"/>
              </w:rPr>
              <w:t>ствова-</w:t>
            </w:r>
            <w:r>
              <w:br/>
            </w:r>
            <w:r>
              <w:rPr>
                <w:rFonts w:ascii="Times New Roman"/>
                <w:b w:val="false"/>
                <w:i w:val="false"/>
                <w:color w:val="000000"/>
                <w:sz w:val="20"/>
              </w:rPr>
              <w:t>
</w:t>
            </w:r>
            <w:r>
              <w:rPr>
                <w:rFonts w:ascii="Times New Roman"/>
                <w:b w:val="false"/>
                <w:i w:val="false"/>
                <w:color w:val="000000"/>
                <w:sz w:val="20"/>
              </w:rPr>
              <w:t>ния</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креди-</w:t>
            </w:r>
            <w:r>
              <w:br/>
            </w:r>
            <w:r>
              <w:rPr>
                <w:rFonts w:ascii="Times New Roman"/>
                <w:b w:val="false"/>
                <w:i w:val="false"/>
                <w:color w:val="000000"/>
                <w:sz w:val="20"/>
              </w:rPr>
              <w:t>
</w:t>
            </w:r>
            <w:r>
              <w:rPr>
                <w:rFonts w:ascii="Times New Roman"/>
                <w:b w:val="false"/>
                <w:i w:val="false"/>
                <w:color w:val="000000"/>
                <w:sz w:val="20"/>
              </w:rPr>
              <w:t>тора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займа,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займа,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вознаграждения, тысяч тенге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 не-</w:t>
            </w:r>
            <w:r>
              <w:br/>
            </w:r>
            <w:r>
              <w:rPr>
                <w:rFonts w:ascii="Times New Roman"/>
                <w:b w:val="false"/>
                <w:i w:val="false"/>
                <w:color w:val="000000"/>
                <w:sz w:val="20"/>
              </w:rPr>
              <w:t>
</w:t>
            </w:r>
            <w:r>
              <w:rPr>
                <w:rFonts w:ascii="Times New Roman"/>
                <w:b w:val="false"/>
                <w:i w:val="false"/>
                <w:color w:val="000000"/>
                <w:sz w:val="20"/>
              </w:rPr>
              <w:t>ния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 не-</w:t>
            </w:r>
            <w:r>
              <w:br/>
            </w:r>
            <w:r>
              <w:rPr>
                <w:rFonts w:ascii="Times New Roman"/>
                <w:b w:val="false"/>
                <w:i w:val="false"/>
                <w:color w:val="000000"/>
                <w:sz w:val="20"/>
              </w:rPr>
              <w:t>
</w:t>
            </w:r>
            <w:r>
              <w:rPr>
                <w:rFonts w:ascii="Times New Roman"/>
                <w:b w:val="false"/>
                <w:i w:val="false"/>
                <w:color w:val="000000"/>
                <w:sz w:val="20"/>
              </w:rPr>
              <w:t>ния</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w:t>
            </w:r>
            <w:r>
              <w:br/>
            </w:r>
            <w:r>
              <w:rPr>
                <w:rFonts w:ascii="Times New Roman"/>
                <w:b w:val="false"/>
                <w:i w:val="false"/>
                <w:color w:val="000000"/>
                <w:sz w:val="20"/>
              </w:rPr>
              <w:t>
</w:t>
            </w:r>
            <w:r>
              <w:rPr>
                <w:rFonts w:ascii="Times New Roman"/>
                <w:b w:val="false"/>
                <w:i w:val="false"/>
                <w:color w:val="000000"/>
                <w:sz w:val="20"/>
              </w:rPr>
              <w:t>ния</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займы, в том числе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займы, в том числе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527"/>
        <w:gridCol w:w="1329"/>
        <w:gridCol w:w="737"/>
        <w:gridCol w:w="1549"/>
        <w:gridCol w:w="716"/>
        <w:gridCol w:w="1330"/>
        <w:gridCol w:w="1133"/>
        <w:gridCol w:w="716"/>
        <w:gridCol w:w="1551"/>
        <w:gridCol w:w="1737"/>
      </w:tblGrid>
      <w:tr>
        <w:trPr>
          <w:trHeight w:val="1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Погашения вознаграждения на 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тысяч тенге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ровка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9"/>
    <w:p>
      <w:pPr>
        <w:spacing w:after="0"/>
        <w:ind w:left="0"/>
        <w:jc w:val="both"/>
      </w:pPr>
      <w:r>
        <w:rPr>
          <w:rFonts w:ascii="Times New Roman"/>
          <w:b w:val="false"/>
          <w:i w:val="false"/>
          <w:color w:val="000000"/>
          <w:sz w:val="28"/>
        </w:rPr>
        <w:t>
      Долговая нагрузка Компании и ее дочерних организаций за отчетный период:</w:t>
      </w:r>
      <w:r>
        <w:br/>
      </w:r>
      <w:r>
        <w:rPr>
          <w:rFonts w:ascii="Times New Roman"/>
          <w:b w:val="false"/>
          <w:i w:val="false"/>
          <w:color w:val="000000"/>
          <w:sz w:val="28"/>
        </w:rPr>
        <w:t>
</w:t>
      </w:r>
      <w:r>
        <w:rPr>
          <w:rFonts w:ascii="Times New Roman"/>
          <w:b w:val="false"/>
          <w:i w:val="false"/>
          <w:color w:val="000000"/>
          <w:sz w:val="28"/>
        </w:rPr>
        <w:t>
                                                      форма 7</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5992"/>
        <w:gridCol w:w="1471"/>
        <w:gridCol w:w="2243"/>
        <w:gridCol w:w="1264"/>
      </w:tblGrid>
      <w:tr>
        <w:trPr>
          <w:trHeight w:val="18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расчета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Консолидированная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r>
      <w:tr>
        <w:trPr>
          <w:trHeight w:val="1125"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Свободная емкость заимствования</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между предельной емкостью заимствования Компании (организации) и объемом финансовых обязательств*, включая суммы привлеченных займов и выданных корпоративных поручительств Компанией (организацией) за исключением, выданных в пользу своих дочерних и зависимых организаций</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Предельная емкость заимствования</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 допустимая сумма, доступная для привлечения займов, предоставления корпоративных гарантий и корпоративных поручительств Компании (организации), при которой коэффициенты емкости заимствования** достигают нормативных значений, утвержденных для Компании (организации), уполномоченным органом (должностным лицом) Компании (организации)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0"/>
    <w:p>
      <w:pPr>
        <w:spacing w:after="0"/>
        <w:ind w:left="0"/>
        <w:jc w:val="both"/>
      </w:pPr>
      <w:r>
        <w:rPr>
          <w:rFonts w:ascii="Times New Roman"/>
          <w:b w:val="false"/>
          <w:i w:val="false"/>
          <w:color w:val="000000"/>
          <w:sz w:val="28"/>
        </w:rPr>
        <w:t>
      * объемом финансовых обязательств – объем любых обязательств, являющихся:</w:t>
      </w:r>
      <w:r>
        <w:br/>
      </w:r>
      <w:r>
        <w:rPr>
          <w:rFonts w:ascii="Times New Roman"/>
          <w:b w:val="false"/>
          <w:i w:val="false"/>
          <w:color w:val="000000"/>
          <w:sz w:val="28"/>
        </w:rPr>
        <w:t>
      обусловленным договором обязательством:</w:t>
      </w:r>
      <w:r>
        <w:br/>
      </w:r>
      <w:r>
        <w:rPr>
          <w:rFonts w:ascii="Times New Roman"/>
          <w:b w:val="false"/>
          <w:i w:val="false"/>
          <w:color w:val="000000"/>
          <w:sz w:val="28"/>
        </w:rPr>
        <w:t>
      передать денежные средства или иной финансовый актив другому субъекту;</w:t>
      </w:r>
      <w:r>
        <w:br/>
      </w: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 невыгодных для субъекта;</w:t>
      </w:r>
      <w:r>
        <w:br/>
      </w: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r>
        <w:br/>
      </w: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r>
        <w:br/>
      </w:r>
      <w:r>
        <w:rPr>
          <w:rFonts w:ascii="Times New Roman"/>
          <w:b w:val="false"/>
          <w:i w:val="false"/>
          <w:color w:val="000000"/>
          <w:sz w:val="28"/>
        </w:rPr>
        <w:t>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r>
        <w:br/>
      </w:r>
      <w:r>
        <w:rPr>
          <w:rFonts w:ascii="Times New Roman"/>
          <w:b w:val="false"/>
          <w:i w:val="false"/>
          <w:color w:val="000000"/>
          <w:sz w:val="28"/>
        </w:rPr>
        <w:t>
</w:t>
      </w:r>
      <w:r>
        <w:rPr>
          <w:rFonts w:ascii="Times New Roman"/>
          <w:b w:val="false"/>
          <w:i w:val="false"/>
          <w:color w:val="000000"/>
          <w:sz w:val="28"/>
        </w:rPr>
        <w:t>
      **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r>
        <w:br/>
      </w:r>
      <w:r>
        <w:rPr>
          <w:rFonts w:ascii="Times New Roman"/>
          <w:b w:val="false"/>
          <w:i w:val="false"/>
          <w:color w:val="000000"/>
          <w:sz w:val="28"/>
        </w:rPr>
        <w:t>
</w:t>
      </w:r>
      <w:r>
        <w:rPr>
          <w:rFonts w:ascii="Times New Roman"/>
          <w:b w:val="false"/>
          <w:i w:val="false"/>
          <w:color w:val="000000"/>
          <w:sz w:val="28"/>
        </w:rPr>
        <w:t>
      4.3. дивидендной политике и их обоснование:</w:t>
      </w:r>
    </w:p>
    <w:bookmarkEnd w:id="20"/>
    <w:bookmarkStart w:name="z25" w:id="21"/>
    <w:p>
      <w:pPr>
        <w:spacing w:after="0"/>
        <w:ind w:left="0"/>
        <w:jc w:val="both"/>
      </w:pPr>
      <w:r>
        <w:rPr>
          <w:rFonts w:ascii="Times New Roman"/>
          <w:b w:val="false"/>
          <w:i w:val="false"/>
          <w:color w:val="000000"/>
          <w:sz w:val="28"/>
        </w:rPr>
        <w:t>
                                                      форма 8</w:t>
      </w:r>
      <w:r>
        <w:br/>
      </w:r>
      <w:r>
        <w:rPr>
          <w:rFonts w:ascii="Times New Roman"/>
          <w:b w:val="false"/>
          <w:i w:val="false"/>
          <w:color w:val="000000"/>
          <w:sz w:val="28"/>
        </w:rPr>
        <w:t>
                                                      тысяч тенге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3957"/>
        <w:gridCol w:w="888"/>
        <w:gridCol w:w="2103"/>
        <w:gridCol w:w="2295"/>
        <w:gridCol w:w="1101"/>
        <w:gridCol w:w="1806"/>
      </w:tblGrid>
      <w:tr>
        <w:trPr>
          <w:trHeight w:val="18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13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дивидендов от дочерних организаций Компании, в том числе: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n</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2"/>
    <w:p>
      <w:pPr>
        <w:spacing w:after="0"/>
        <w:ind w:left="0"/>
        <w:jc w:val="both"/>
      </w:pPr>
      <w:r>
        <w:rPr>
          <w:rFonts w:ascii="Times New Roman"/>
          <w:b w:val="false"/>
          <w:i w:val="false"/>
          <w:color w:val="000000"/>
          <w:sz w:val="28"/>
        </w:rPr>
        <w:t>
      4.4. реструктуризация активов* и их обоснование:</w:t>
      </w:r>
    </w:p>
    <w:bookmarkEnd w:id="22"/>
    <w:bookmarkStart w:name="z26" w:id="23"/>
    <w:p>
      <w:pPr>
        <w:spacing w:after="0"/>
        <w:ind w:left="0"/>
        <w:jc w:val="both"/>
      </w:pPr>
      <w:r>
        <w:rPr>
          <w:rFonts w:ascii="Times New Roman"/>
          <w:b w:val="false"/>
          <w:i w:val="false"/>
          <w:color w:val="000000"/>
          <w:sz w:val="28"/>
        </w:rPr>
        <w:t>
                                                            форма 9</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919"/>
        <w:gridCol w:w="1701"/>
        <w:gridCol w:w="893"/>
        <w:gridCol w:w="1708"/>
        <w:gridCol w:w="1708"/>
        <w:gridCol w:w="1108"/>
        <w:gridCol w:w="2494"/>
      </w:tblGrid>
      <w:tr>
        <w:trPr>
          <w:trHeight w:val="72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группы Компании (с указанием всех организаций, входящих в группу) на начало отчетного периода</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актива (профиль-</w:t>
            </w:r>
            <w:r>
              <w:br/>
            </w:r>
            <w:r>
              <w:rPr>
                <w:rFonts w:ascii="Times New Roman"/>
                <w:b w:val="false"/>
                <w:i w:val="false"/>
                <w:color w:val="000000"/>
                <w:sz w:val="20"/>
              </w:rPr>
              <w:t>
</w:t>
            </w:r>
            <w:r>
              <w:rPr>
                <w:rFonts w:ascii="Times New Roman"/>
                <w:b w:val="false"/>
                <w:i w:val="false"/>
                <w:color w:val="000000"/>
                <w:sz w:val="20"/>
              </w:rPr>
              <w:t>ный, непрофиль-</w:t>
            </w:r>
            <w:r>
              <w:br/>
            </w:r>
            <w:r>
              <w:rPr>
                <w:rFonts w:ascii="Times New Roman"/>
                <w:b w:val="false"/>
                <w:i w:val="false"/>
                <w:color w:val="000000"/>
                <w:sz w:val="20"/>
              </w:rPr>
              <w:t>
</w:t>
            </w:r>
            <w:r>
              <w:rPr>
                <w:rFonts w:ascii="Times New Roman"/>
                <w:b w:val="false"/>
                <w:i w:val="false"/>
                <w:color w:val="000000"/>
                <w:sz w:val="20"/>
              </w:rPr>
              <w:t>ный,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Реструктуризация актива за отчетный период (разделение, выделение, соединение, ликвидация, продажа (отчуждение) создание новых, приобретения акций (долей участия) и т.д.)</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группы Компании (с указанием всех организаций, входящих в группу) на конец отчетного периода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ровка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r>
      <w:tr>
        <w:trPr>
          <w:trHeight w:val="25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 активы – это юридические лица, входящие в группу Компании.</w:t>
      </w:r>
    </w:p>
    <w:bookmarkEnd w:id="24"/>
    <w:bookmarkStart w:name="z64" w:id="25"/>
    <w:p>
      <w:pPr>
        <w:spacing w:after="0"/>
        <w:ind w:left="0"/>
        <w:jc w:val="both"/>
      </w:pPr>
      <w:r>
        <w:rPr>
          <w:rFonts w:ascii="Times New Roman"/>
          <w:b w:val="false"/>
          <w:i w:val="false"/>
          <w:color w:val="000000"/>
          <w:sz w:val="28"/>
        </w:rPr>
        <w:t>
      4.5. увеличению местного содержания:</w:t>
      </w:r>
      <w:r>
        <w:br/>
      </w:r>
      <w:r>
        <w:rPr>
          <w:rFonts w:ascii="Times New Roman"/>
          <w:b w:val="false"/>
          <w:i w:val="false"/>
          <w:color w:val="000000"/>
          <w:sz w:val="28"/>
        </w:rPr>
        <w:t>
</w:t>
      </w:r>
      <w:r>
        <w:rPr>
          <w:rFonts w:ascii="Times New Roman"/>
          <w:b w:val="false"/>
          <w:i w:val="false"/>
          <w:color w:val="000000"/>
          <w:sz w:val="28"/>
        </w:rPr>
        <w:t>
                                                            форма 10</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3105"/>
        <w:gridCol w:w="1698"/>
        <w:gridCol w:w="1105"/>
        <w:gridCol w:w="1897"/>
        <w:gridCol w:w="1704"/>
        <w:gridCol w:w="891"/>
        <w:gridCol w:w="2113"/>
      </w:tblGrid>
      <w:tr>
        <w:trPr>
          <w:trHeight w:val="24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2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закупок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Местное содержание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6"/>
    <w:p>
      <w:pPr>
        <w:spacing w:after="0"/>
        <w:ind w:left="0"/>
        <w:jc w:val="both"/>
      </w:pPr>
      <w:r>
        <w:rPr>
          <w:rFonts w:ascii="Times New Roman"/>
          <w:b w:val="false"/>
          <w:i w:val="false"/>
          <w:color w:val="000000"/>
          <w:sz w:val="28"/>
        </w:rPr>
        <w:t>
      5. Административные расходы за отчетный период, с обоснованием роста или снижения:</w:t>
      </w:r>
    </w:p>
    <w:bookmarkEnd w:id="26"/>
    <w:bookmarkStart w:name="z29" w:id="27"/>
    <w:p>
      <w:pPr>
        <w:spacing w:after="0"/>
        <w:ind w:left="0"/>
        <w:jc w:val="both"/>
      </w:pPr>
      <w:r>
        <w:rPr>
          <w:rFonts w:ascii="Times New Roman"/>
          <w:b w:val="false"/>
          <w:i w:val="false"/>
          <w:color w:val="000000"/>
          <w:sz w:val="28"/>
        </w:rPr>
        <w:t>
                                                            форма 11</w:t>
      </w:r>
      <w:r>
        <w:br/>
      </w:r>
      <w:r>
        <w:rPr>
          <w:rFonts w:ascii="Times New Roman"/>
          <w:b w:val="false"/>
          <w:i w:val="false"/>
          <w:color w:val="000000"/>
          <w:sz w:val="28"/>
        </w:rPr>
        <w:t>
         Наименование Компании (дочерней организации)*   тысяч тенге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3907"/>
        <w:gridCol w:w="884"/>
        <w:gridCol w:w="2094"/>
        <w:gridCol w:w="2285"/>
        <w:gridCol w:w="884"/>
        <w:gridCol w:w="2095"/>
      </w:tblGrid>
      <w:tr>
        <w:trPr>
          <w:trHeight w:val="285"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16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 всего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работников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от оплаты труда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нематериальных активов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основных средств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и ремонт основных средств и нематериальных активов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транспортным услугам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услугам связи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расходы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 расходы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услуги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оказанием благотворительной и спонсорской помощи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 охране труда и технике безопасности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социальной программе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 платежи в бюджет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Совета директоров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 том числе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8"/>
    <w:p>
      <w:pPr>
        <w:spacing w:after="0"/>
        <w:ind w:left="0"/>
        <w:jc w:val="both"/>
      </w:pPr>
      <w:r>
        <w:rPr>
          <w:rFonts w:ascii="Times New Roman"/>
          <w:b w:val="false"/>
          <w:i w:val="false"/>
          <w:color w:val="000000"/>
          <w:sz w:val="28"/>
        </w:rPr>
        <w:t>
      * данная форма заполняется отдельно по каждой дочерней организации.</w:t>
      </w:r>
    </w:p>
    <w:bookmarkEnd w:id="28"/>
    <w:bookmarkStart w:name="z31" w:id="29"/>
    <w:p>
      <w:pPr>
        <w:spacing w:after="0"/>
        <w:ind w:left="0"/>
        <w:jc w:val="both"/>
      </w:pPr>
      <w:r>
        <w:rPr>
          <w:rFonts w:ascii="Times New Roman"/>
          <w:b w:val="false"/>
          <w:i w:val="false"/>
          <w:color w:val="000000"/>
          <w:sz w:val="28"/>
        </w:rPr>
        <w:t>
      6. Отношения с бюджетом за отчетный период:</w:t>
      </w:r>
      <w:r>
        <w:br/>
      </w:r>
      <w:r>
        <w:rPr>
          <w:rFonts w:ascii="Times New Roman"/>
          <w:b w:val="false"/>
          <w:i w:val="false"/>
          <w:color w:val="000000"/>
          <w:sz w:val="28"/>
        </w:rPr>
        <w:t>
</w:t>
      </w:r>
      <w:r>
        <w:rPr>
          <w:rFonts w:ascii="Times New Roman"/>
          <w:b w:val="false"/>
          <w:i w:val="false"/>
          <w:color w:val="000000"/>
          <w:sz w:val="28"/>
        </w:rPr>
        <w:t>
      6.1. Поступления из республиканского бюджета и местных бюджетов в соответствии с бюджетным законодательством Республики Казахстан: </w:t>
      </w:r>
    </w:p>
    <w:bookmarkEnd w:id="29"/>
    <w:bookmarkStart w:name="z32" w:id="30"/>
    <w:p>
      <w:pPr>
        <w:spacing w:after="0"/>
        <w:ind w:left="0"/>
        <w:jc w:val="both"/>
      </w:pPr>
      <w:r>
        <w:rPr>
          <w:rFonts w:ascii="Times New Roman"/>
          <w:b w:val="false"/>
          <w:i w:val="false"/>
          <w:color w:val="000000"/>
          <w:sz w:val="28"/>
        </w:rPr>
        <w:t>
                                                      форма 12</w:t>
      </w:r>
      <w:r>
        <w:br/>
      </w:r>
      <w:r>
        <w:rPr>
          <w:rFonts w:ascii="Times New Roman"/>
          <w:b w:val="false"/>
          <w:i w:val="false"/>
          <w:color w:val="000000"/>
          <w:sz w:val="28"/>
        </w:rPr>
        <w:t>
                                                      тысяч тенге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928"/>
        <w:gridCol w:w="1304"/>
        <w:gridCol w:w="899"/>
        <w:gridCol w:w="1915"/>
        <w:gridCol w:w="1937"/>
        <w:gridCol w:w="878"/>
        <w:gridCol w:w="1937"/>
        <w:gridCol w:w="1521"/>
      </w:tblGrid>
      <w:tr>
        <w:trPr>
          <w:trHeight w:val="30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ровка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c>
          <w:tcPr>
            <w:tcW w:w="0" w:type="auto"/>
            <w:vMerge/>
            <w:tcBorders>
              <w:top w:val="nil"/>
              <w:left w:val="single" w:color="cfcfcf" w:sz="5"/>
              <w:bottom w:val="single" w:color="cfcfcf" w:sz="5"/>
              <w:right w:val="single" w:color="cfcfcf" w:sz="5"/>
            </w:tcBorders>
          </w:tcPr>
          <w:p/>
        </w:tc>
      </w:tr>
      <w:tr>
        <w:trPr>
          <w:trHeight w:val="2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Компании или ее дочерней организации</w:t>
            </w:r>
          </w:p>
        </w:tc>
      </w:tr>
      <w:tr>
        <w:trPr>
          <w:trHeight w:val="27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Компании или ее дочерней организации</w:t>
            </w:r>
          </w:p>
        </w:tc>
      </w:tr>
      <w:tr>
        <w:trPr>
          <w:trHeight w:val="27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31"/>
    <w:p>
      <w:pPr>
        <w:spacing w:after="0"/>
        <w:ind w:left="0"/>
        <w:jc w:val="both"/>
      </w:pPr>
      <w:r>
        <w:rPr>
          <w:rFonts w:ascii="Times New Roman"/>
          <w:b w:val="false"/>
          <w:i w:val="false"/>
          <w:color w:val="000000"/>
          <w:sz w:val="28"/>
        </w:rPr>
        <w:t>
      6.2.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bookmarkEnd w:id="31"/>
    <w:bookmarkStart w:name="z33" w:id="32"/>
    <w:p>
      <w:pPr>
        <w:spacing w:after="0"/>
        <w:ind w:left="0"/>
        <w:jc w:val="both"/>
      </w:pPr>
      <w:r>
        <w:rPr>
          <w:rFonts w:ascii="Times New Roman"/>
          <w:b w:val="false"/>
          <w:i w:val="false"/>
          <w:color w:val="000000"/>
          <w:sz w:val="28"/>
        </w:rPr>
        <w:t>
                                                            форма 13</w:t>
      </w:r>
      <w:r>
        <w:br/>
      </w:r>
      <w:r>
        <w:rPr>
          <w:rFonts w:ascii="Times New Roman"/>
          <w:b w:val="false"/>
          <w:i w:val="false"/>
          <w:color w:val="000000"/>
          <w:sz w:val="28"/>
        </w:rPr>
        <w:t>
                                                         тысяч тенге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281"/>
        <w:gridCol w:w="1110"/>
        <w:gridCol w:w="2501"/>
        <w:gridCol w:w="2290"/>
        <w:gridCol w:w="1110"/>
        <w:gridCol w:w="1828"/>
      </w:tblGrid>
      <w:tr>
        <w:trPr>
          <w:trHeight w:val="285"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2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налогов и платежей, в том числе: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экспортируемую сырую нефть, газовый конденсат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платежи и налоги недропользователей</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эмиссии в окружающую среду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земельными участками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и платежи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3"/>
    <w:p>
      <w:pPr>
        <w:spacing w:after="0"/>
        <w:ind w:left="0"/>
        <w:jc w:val="both"/>
      </w:pPr>
      <w:r>
        <w:rPr>
          <w:rFonts w:ascii="Times New Roman"/>
          <w:b w:val="false"/>
          <w:i w:val="false"/>
          <w:color w:val="000000"/>
          <w:sz w:val="28"/>
        </w:rPr>
        <w:t>
      6.3. Выплата дивидендов на государственный пакет акций:</w:t>
      </w:r>
    </w:p>
    <w:bookmarkEnd w:id="33"/>
    <w:bookmarkStart w:name="z34" w:id="34"/>
    <w:p>
      <w:pPr>
        <w:spacing w:after="0"/>
        <w:ind w:left="0"/>
        <w:jc w:val="both"/>
      </w:pPr>
      <w:r>
        <w:rPr>
          <w:rFonts w:ascii="Times New Roman"/>
          <w:b w:val="false"/>
          <w:i w:val="false"/>
          <w:color w:val="000000"/>
          <w:sz w:val="28"/>
        </w:rPr>
        <w:t>
                                                            форма 14</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3721"/>
        <w:gridCol w:w="1696"/>
        <w:gridCol w:w="698"/>
        <w:gridCol w:w="1918"/>
        <w:gridCol w:w="1896"/>
        <w:gridCol w:w="698"/>
        <w:gridCol w:w="1706"/>
      </w:tblGrid>
      <w:tr>
        <w:trPr>
          <w:trHeight w:val="255"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ровка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ровка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2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(убыток указывается со знаком минус), всего</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чистого дохода, в том числе на: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инновационные проекты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убытков прошлых лет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на акцию:</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простую</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привилегированную</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пакет акций, находящийся в государственной собственности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чистого дохода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5"/>
    <w:p>
      <w:pPr>
        <w:spacing w:after="0"/>
        <w:ind w:left="0"/>
        <w:jc w:val="both"/>
      </w:pPr>
      <w:r>
        <w:rPr>
          <w:rFonts w:ascii="Times New Roman"/>
          <w:b w:val="false"/>
          <w:i w:val="false"/>
          <w:color w:val="000000"/>
          <w:sz w:val="28"/>
        </w:rPr>
        <w:t>
      7. Общий объем инвестиций и капитальных вложений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r>
        <w:br/>
      </w:r>
      <w:r>
        <w:rPr>
          <w:rFonts w:ascii="Times New Roman"/>
          <w:b w:val="false"/>
          <w:i w:val="false"/>
          <w:color w:val="000000"/>
          <w:sz w:val="28"/>
        </w:rPr>
        <w:t>
      капитальные вложения, в том числе инвестиционные проекты; строительство и модернизация объектов; приобретение основных средств; приобретение нематериальных активов и прочие вложения;</w:t>
      </w:r>
      <w:r>
        <w:br/>
      </w:r>
      <w:r>
        <w:rPr>
          <w:rFonts w:ascii="Times New Roman"/>
          <w:b w:val="false"/>
          <w:i w:val="false"/>
          <w:color w:val="000000"/>
          <w:sz w:val="28"/>
        </w:rPr>
        <w:t>
      инвестиции, в том числе приобретение пакетов акций (долей участия); вклады в уставной капитал и прочие инвестиции:</w:t>
      </w:r>
    </w:p>
    <w:bookmarkEnd w:id="35"/>
    <w:bookmarkStart w:name="z36" w:id="36"/>
    <w:p>
      <w:pPr>
        <w:spacing w:after="0"/>
        <w:ind w:left="0"/>
        <w:jc w:val="both"/>
      </w:pPr>
      <w:r>
        <w:rPr>
          <w:rFonts w:ascii="Times New Roman"/>
          <w:b w:val="false"/>
          <w:i w:val="false"/>
          <w:color w:val="000000"/>
          <w:sz w:val="28"/>
        </w:rPr>
        <w:t>
                                                            форма 15</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790"/>
        <w:gridCol w:w="3832"/>
        <w:gridCol w:w="4625"/>
      </w:tblGrid>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проектов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освоения проекта</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дата ввода в эксплуатацию</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вложения, всего, в том числе:</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 всего</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вложения в новые проекты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вложения в существующие проекты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1.1.N</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всего</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пакетов акций (долей участия)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уставной капитал</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7"/>
    <w:p>
      <w:pPr>
        <w:spacing w:after="0"/>
        <w:ind w:left="0"/>
        <w:jc w:val="both"/>
      </w:pPr>
      <w:r>
        <w:rPr>
          <w:rFonts w:ascii="Times New Roman"/>
          <w:b w:val="false"/>
          <w:i w:val="false"/>
          <w:color w:val="000000"/>
          <w:sz w:val="28"/>
        </w:rPr>
        <w:t>
продолжение таблицы: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5"/>
        <w:gridCol w:w="476"/>
        <w:gridCol w:w="767"/>
        <w:gridCol w:w="573"/>
        <w:gridCol w:w="464"/>
        <w:gridCol w:w="765"/>
        <w:gridCol w:w="766"/>
        <w:gridCol w:w="427"/>
        <w:gridCol w:w="464"/>
        <w:gridCol w:w="1072"/>
        <w:gridCol w:w="784"/>
        <w:gridCol w:w="761"/>
        <w:gridCol w:w="439"/>
        <w:gridCol w:w="758"/>
        <w:gridCol w:w="758"/>
        <w:gridCol w:w="782"/>
        <w:gridCol w:w="439"/>
        <w:gridCol w:w="768"/>
        <w:gridCol w:w="744"/>
        <w:gridCol w:w="887"/>
      </w:tblGrid>
      <w:tr>
        <w:trPr>
          <w:trHeight w:val="255"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тысяч тенге</w:t>
            </w:r>
          </w:p>
        </w:tc>
      </w:tr>
      <w:tr>
        <w:trPr>
          <w:trHeight w:val="165"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 за отчетный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780" w:hRule="atLeast"/>
        </w:trPr>
        <w:tc>
          <w:tcPr>
            <w:tcW w:w="0" w:type="auto"/>
            <w:vMerge/>
            <w:tcBorders>
              <w:top w:val="nil"/>
              <w:left w:val="single" w:color="cfcfcf" w:sz="5"/>
              <w:bottom w:val="single" w:color="cfcfcf" w:sz="5"/>
              <w:right w:val="single" w:color="cfcfcf" w:sz="5"/>
            </w:tcBorders>
          </w:tcP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 xml:space="preserve">источников </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ные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w:t>
            </w: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ные</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w:t>
            </w: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ные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w:t>
            </w: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ные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w:t>
            </w: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8"/>
    <w:p>
      <w:pPr>
        <w:spacing w:after="0"/>
        <w:ind w:left="0"/>
        <w:jc w:val="both"/>
      </w:pPr>
      <w:r>
        <w:rPr>
          <w:rFonts w:ascii="Times New Roman"/>
          <w:b w:val="false"/>
          <w:i w:val="false"/>
          <w:color w:val="000000"/>
          <w:sz w:val="28"/>
        </w:rPr>
        <w:t>
      8. Управление временно свободными денежными средствами, политика их размещения за отчетный период:</w:t>
      </w:r>
    </w:p>
    <w:bookmarkEnd w:id="38"/>
    <w:bookmarkStart w:name="z39" w:id="39"/>
    <w:p>
      <w:pPr>
        <w:spacing w:after="0"/>
        <w:ind w:left="0"/>
        <w:jc w:val="both"/>
      </w:pPr>
      <w:r>
        <w:rPr>
          <w:rFonts w:ascii="Times New Roman"/>
          <w:b w:val="false"/>
          <w:i w:val="false"/>
          <w:color w:val="000000"/>
          <w:sz w:val="28"/>
        </w:rPr>
        <w:t>
                                                            форма 16</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905"/>
        <w:gridCol w:w="1501"/>
        <w:gridCol w:w="887"/>
        <w:gridCol w:w="2103"/>
        <w:gridCol w:w="2103"/>
        <w:gridCol w:w="1912"/>
        <w:gridCol w:w="2296"/>
      </w:tblGrid>
      <w:tr>
        <w:trPr>
          <w:trHeight w:val="34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финансовых инструментов</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40"/>
    <w:p>
      <w:pPr>
        <w:spacing w:after="0"/>
        <w:ind w:left="0"/>
        <w:jc w:val="both"/>
      </w:pPr>
      <w:r>
        <w:rPr>
          <w:rFonts w:ascii="Times New Roman"/>
          <w:b w:val="false"/>
          <w:i w:val="false"/>
          <w:color w:val="000000"/>
          <w:sz w:val="28"/>
        </w:rPr>
        <w:t>
      9. Кадровая политика Компании (среднегодовая численность работников, среднемесячная заработная плата, фонд оплаты труда, уровень текучести кадров) за отчетный период:</w:t>
      </w:r>
    </w:p>
    <w:bookmarkEnd w:id="40"/>
    <w:bookmarkStart w:name="z41" w:id="41"/>
    <w:p>
      <w:pPr>
        <w:spacing w:after="0"/>
        <w:ind w:left="0"/>
        <w:jc w:val="both"/>
      </w:pPr>
      <w:r>
        <w:rPr>
          <w:rFonts w:ascii="Times New Roman"/>
          <w:b w:val="false"/>
          <w:i w:val="false"/>
          <w:color w:val="000000"/>
          <w:sz w:val="28"/>
        </w:rPr>
        <w:t>
                                                            форма 17</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021"/>
        <w:gridCol w:w="1697"/>
        <w:gridCol w:w="891"/>
        <w:gridCol w:w="1897"/>
        <w:gridCol w:w="1705"/>
        <w:gridCol w:w="892"/>
        <w:gridCol w:w="1899"/>
      </w:tblGrid>
      <w:tr>
        <w:trPr>
          <w:trHeight w:val="27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1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работников, всего, 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ленческого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 персонала (водители, технички и т.д.)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штатному расписанию, 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 персонала (водители, технички и т.д.)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заработная плата, 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 персонала (водители, технички и т.д.)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 труда, 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 персонала (водители, технички и т.д.)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Премирование из фонда оплаты труда, 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 персонала (водители, технички и т.д.)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материальной помощи, 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управленческому персоналу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производственному персоналу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вспомогательному персоналу (водители, технички и т.д.)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работников, охваченных системой обучения, повышения квалификации, 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обучение, повышение квалификации, 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рабочих мест, 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управленческий персонал</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персонал</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медицинскому обслуживанию, 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 персонала (водители, технички и т.д.)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Ссуды, предоставленные работникам, 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 персонала (водители, технички и т.д.)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текучести кадров, 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42"/>
    <w:p>
      <w:pPr>
        <w:spacing w:after="0"/>
        <w:ind w:left="0"/>
        <w:jc w:val="both"/>
      </w:pPr>
      <w:r>
        <w:rPr>
          <w:rFonts w:ascii="Times New Roman"/>
          <w:b w:val="false"/>
          <w:i w:val="false"/>
          <w:color w:val="000000"/>
          <w:sz w:val="28"/>
        </w:rPr>
        <w:t>
      10. Охрана окружающей среды, охрана труда и техники безопасности.</w:t>
      </w:r>
      <w:r>
        <w:br/>
      </w:r>
      <w:r>
        <w:rPr>
          <w:rFonts w:ascii="Times New Roman"/>
          <w:b w:val="false"/>
          <w:i w:val="false"/>
          <w:color w:val="000000"/>
          <w:sz w:val="28"/>
        </w:rPr>
        <w:t>
</w:t>
      </w:r>
      <w:r>
        <w:rPr>
          <w:rFonts w:ascii="Times New Roman"/>
          <w:b w:val="false"/>
          <w:i w:val="false"/>
          <w:color w:val="000000"/>
          <w:sz w:val="28"/>
        </w:rPr>
        <w:t>
      11. Отдельные ключевые показатели Компании, а также основные консолидированные и неконсолидированные показатели Компании и консолидированные показатели юридических лиц, акции (доли участия) которых предоставляют право Компании прямо определять решения, принимаемые данными юридическими лицами (доходы, расходы, инвестиции, дивиденды, финансовый результат, займы и другие сведения):</w:t>
      </w:r>
      <w:r>
        <w:br/>
      </w:r>
      <w:r>
        <w:rPr>
          <w:rFonts w:ascii="Times New Roman"/>
          <w:b w:val="false"/>
          <w:i w:val="false"/>
          <w:color w:val="000000"/>
          <w:sz w:val="28"/>
        </w:rPr>
        <w:t>
</w:t>
      </w:r>
      <w:r>
        <w:rPr>
          <w:rFonts w:ascii="Times New Roman"/>
          <w:b w:val="false"/>
          <w:i w:val="false"/>
          <w:color w:val="000000"/>
          <w:sz w:val="28"/>
        </w:rPr>
        <w:t>
      11.1. 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42"/>
    <w:bookmarkStart w:name="z44" w:id="43"/>
    <w:p>
      <w:pPr>
        <w:spacing w:after="0"/>
        <w:ind w:left="0"/>
        <w:jc w:val="both"/>
      </w:pPr>
      <w:r>
        <w:rPr>
          <w:rFonts w:ascii="Times New Roman"/>
          <w:b w:val="false"/>
          <w:i w:val="false"/>
          <w:color w:val="000000"/>
          <w:sz w:val="28"/>
        </w:rPr>
        <w:t>
                                                            форма 18</w:t>
      </w:r>
      <w:r>
        <w:br/>
      </w:r>
      <w:r>
        <w:rPr>
          <w:rFonts w:ascii="Times New Roman"/>
          <w:b w:val="false"/>
          <w:i w:val="false"/>
          <w:color w:val="000000"/>
          <w:sz w:val="28"/>
        </w:rPr>
        <w:t>
                                                         тысяч тенге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39"/>
        <w:gridCol w:w="882"/>
        <w:gridCol w:w="2090"/>
        <w:gridCol w:w="2091"/>
        <w:gridCol w:w="1094"/>
        <w:gridCol w:w="2092"/>
      </w:tblGrid>
      <w:tr>
        <w:trPr>
          <w:trHeight w:val="24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1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в том числе: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основной деятельности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операционные доходы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Положительная курсовая разница, нетто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 ассоциированной компании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доход, за вычетом налогов, приходящийся на акционера компании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доход, за вычетом налогов, приходящийся на неконтрольную долю участия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всего, в том числе: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основной деятельности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реализации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операционные расходы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Отрицательная курсовая разница, нетто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убытке ассоциированной компании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Доход/убыток до налогообложения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корпоративному подоходному налогу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(убыток указывается со знаком минус)</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в том числе: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активы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в том числе: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обязательства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 том числе: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(акционерный) капитал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Эмиссионный доход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собственные долевые инструменты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доход (непокрытый убыток)</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Неоплаченный капитал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4"/>
    <w:p>
      <w:pPr>
        <w:spacing w:after="0"/>
        <w:ind w:left="0"/>
        <w:jc w:val="both"/>
      </w:pPr>
      <w:r>
        <w:rPr>
          <w:rFonts w:ascii="Times New Roman"/>
          <w:b w:val="false"/>
          <w:i w:val="false"/>
          <w:color w:val="000000"/>
          <w:sz w:val="28"/>
        </w:rPr>
        <w:t>
      11.2. 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44"/>
    <w:bookmarkStart w:name="z45" w:id="45"/>
    <w:p>
      <w:pPr>
        <w:spacing w:after="0"/>
        <w:ind w:left="0"/>
        <w:jc w:val="both"/>
      </w:pPr>
      <w:r>
        <w:rPr>
          <w:rFonts w:ascii="Times New Roman"/>
          <w:b w:val="false"/>
          <w:i w:val="false"/>
          <w:color w:val="000000"/>
          <w:sz w:val="28"/>
        </w:rPr>
        <w:t>
                                                            форма 19</w:t>
      </w:r>
      <w:r>
        <w:br/>
      </w:r>
      <w:r>
        <w:rPr>
          <w:rFonts w:ascii="Times New Roman"/>
          <w:b w:val="false"/>
          <w:i w:val="false"/>
          <w:color w:val="000000"/>
          <w:sz w:val="28"/>
        </w:rPr>
        <w:t>
        Наименование Компании (дочерней организации)*    тысяч тенге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3639"/>
        <w:gridCol w:w="1099"/>
        <w:gridCol w:w="2292"/>
        <w:gridCol w:w="2293"/>
        <w:gridCol w:w="1100"/>
        <w:gridCol w:w="2102"/>
      </w:tblGrid>
      <w:tr>
        <w:trPr>
          <w:trHeight w:val="285"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13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всего, в том числе: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продукции, выполненных работ и оказанных услуг</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финансирования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активов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 полученных активов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операционной аренды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инвестициям, учитываемых методом долевого участия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финансовым инструментам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курсовой разнице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в том числе: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том числе: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 продукции, выполненных работ и оказанных услуг</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корпоративному подоходному налогу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выбытия активов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обесценения активов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курсовой разнице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финансирование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в том числе: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в том числе: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активы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в том числе: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обязательства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 том числе: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(акционерный) капитал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Эмиссионный доход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собственные долевые инструменты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доход (непокрытый убыток)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Неоплаченный капитал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за счет всех источников финансирования, в том числе: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 средств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заемных средств, в том числе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бюджетных кредитов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бюджета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(убыток указывается со знаком минус)</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деятельности, %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добавленная стоимость EVA (Economic Value Added)</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6"/>
    <w:p>
      <w:pPr>
        <w:spacing w:after="0"/>
        <w:ind w:left="0"/>
        <w:jc w:val="both"/>
      </w:pPr>
      <w:r>
        <w:rPr>
          <w:rFonts w:ascii="Times New Roman"/>
          <w:b w:val="false"/>
          <w:i w:val="false"/>
          <w:color w:val="000000"/>
          <w:sz w:val="28"/>
        </w:rPr>
        <w:t>
      * данная форма заполняется отдельно по каждой дочерней организации.</w:t>
      </w:r>
    </w:p>
    <w:bookmarkEnd w:id="46"/>
    <w:p>
      <w:pPr>
        <w:spacing w:after="0"/>
        <w:ind w:left="0"/>
        <w:jc w:val="both"/>
      </w:pPr>
      <w:r>
        <w:rPr>
          <w:rFonts w:ascii="Times New Roman"/>
          <w:b w:val="false"/>
          <w:i w:val="false"/>
          <w:color w:val="000000"/>
          <w:sz w:val="28"/>
        </w:rPr>
        <w:t>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p>
    <w:bookmarkStart w:name="z47" w:id="47"/>
    <w:p>
      <w:pPr>
        <w:spacing w:after="0"/>
        <w:ind w:left="0"/>
        <w:jc w:val="both"/>
      </w:pPr>
      <w:r>
        <w:rPr>
          <w:rFonts w:ascii="Times New Roman"/>
          <w:b w:val="false"/>
          <w:i w:val="false"/>
          <w:color w:val="000000"/>
          <w:sz w:val="28"/>
        </w:rPr>
        <w:t>
      12. 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 в том числе:</w:t>
      </w:r>
    </w:p>
    <w:bookmarkEnd w:id="47"/>
    <w:bookmarkStart w:name="z48" w:id="48"/>
    <w:p>
      <w:pPr>
        <w:spacing w:after="0"/>
        <w:ind w:left="0"/>
        <w:jc w:val="both"/>
      </w:pPr>
      <w:r>
        <w:rPr>
          <w:rFonts w:ascii="Times New Roman"/>
          <w:b w:val="false"/>
          <w:i w:val="false"/>
          <w:color w:val="000000"/>
          <w:sz w:val="28"/>
        </w:rPr>
        <w:t>
                                                            форма 20</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205"/>
        <w:gridCol w:w="1456"/>
        <w:gridCol w:w="2426"/>
        <w:gridCol w:w="2220"/>
        <w:gridCol w:w="1065"/>
        <w:gridCol w:w="2036"/>
      </w:tblGrid>
      <w:tr>
        <w:trPr>
          <w:trHeight w:val="30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корпоративного управления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n</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