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6568" w14:textId="65e6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ежеквартальной информации субъекта регулируемого рынка об исполнении либо неисполнении инвестиционной программы (проекта), учтенной в предельной цене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мая 2013 года N 148-ОД. Зарегистрирован в Министерстве юстиции Республики Казахстан 20 июня 2013 года N 8517.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ежеквартальной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 регулируемого рынка об исполнении либо неисполнении инвестиционной программы (проекта), учтенной в предельной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июля 2012 года № 180-ОД «Об утверждении форм ежеквартальной информации субъекта регулируемого рынка об исполнении либо неисполнении инвестиционной программы (проекта), учтенной в предельной цене», (зарегистрированный в Реестре государственной регистрации нормативных правовых актов за № 7863, опубликованный в газете «Казахстанская правда» от 10 октября 2012 года № 346-347).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мая 2013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 № 148-ОД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Ежеквартальная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 об исполнении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(наименование, БИН/ИИН субъекта регулируемого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либо неисполнении инвестиционной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(проекта), учтенной в предельной цене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деятельности по ОКЭД)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_______________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(квартал)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161"/>
        <w:gridCol w:w="2752"/>
        <w:gridCol w:w="2752"/>
        <w:gridCol w:w="1049"/>
        <w:gridCol w:w="812"/>
        <w:gridCol w:w="898"/>
        <w:gridCol w:w="791"/>
      </w:tblGrid>
      <w:tr>
        <w:trPr>
          <w:trHeight w:val="8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утверждена (дата, номер приказа)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 мероприятий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203"/>
        <w:gridCol w:w="696"/>
        <w:gridCol w:w="939"/>
        <w:gridCol w:w="696"/>
        <w:gridCol w:w="1159"/>
        <w:gridCol w:w="763"/>
        <w:gridCol w:w="1116"/>
        <w:gridCol w:w="763"/>
        <w:gridCol w:w="1160"/>
        <w:gridCol w:w="719"/>
        <w:gridCol w:w="940"/>
        <w:gridCol w:w="998"/>
        <w:gridCol w:w="1306"/>
      </w:tblGrid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 (показатели) мероприятия, объекта инвестиционной программы, учтенной в предельной цене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>*с приложением подтверждающих документов по реализации инвестиционной программы (копии соответствующих договоров, контрактов, акты о приемке выполненных работ (форма № 2), справка о стоимости выполненных работ и затрат (форма № КС-3), счет – фактуры, акты – приемки в эксплуатацию государственных приемочных комиссий, внутренние накладные, внутренние приказы субъектов регулируемого рынка о вводе в эксплуатацию и принятии на баланс);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форма не распространяется на субъектов производителей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ОКЭД – Общий классификатор экономической деятельности.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