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55fa" w14:textId="98b5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15 февраля 2013 года N 48-ОД. Зарегистрирован в Министерстве юстиции Республики Казахстан 26 марта 2013 года N 8392. Утратил силу приказом Председателя Агентства Республики Казахстан по регулированию естественных монополий от 25 апреля 2013 года № 130-ОД</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25.04.2013 </w:t>
      </w:r>
      <w:r>
        <w:rPr>
          <w:rFonts w:ascii="Times New Roman"/>
          <w:b w:val="false"/>
          <w:i w:val="false"/>
          <w:color w:val="ff0000"/>
          <w:sz w:val="28"/>
        </w:rPr>
        <w:t>№ 130-ОД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подпунктом 6)</w:t>
      </w:r>
      <w:r>
        <w:rPr>
          <w:rFonts w:ascii="Times New Roman"/>
          <w:b w:val="false"/>
          <w:i w:val="false"/>
          <w:color w:val="000000"/>
          <w:sz w:val="28"/>
        </w:rPr>
        <w:t xml:space="preserve"> пункта 21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2438, опубликованный в «Официальной газете» 6 сентября 2003 года № 36)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Название</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прилагаемый Особый порядок формирования затрат, применяемый при утверждении тарифов (цен, ставок сборов)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название</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«Особый порядок формирования затрат, применяемый при утверждении тарифов (цен, ставок сборов)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Настоящий Особый порядок формирования затрат, применяемый при утверждении тарифов (цен, ставок сборов) и тарифных смет на регулируемые услуги (товары, работы) субъектов естественных монополий (далее - Особый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с целью недопущения необоснованного роста тарифов (цен, ставок сборов) на регулируемые услуги (товары, работы) субъектов естественной монополии.»;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«При формировании тарифов (цен, ставок сборов) на регулируемые услуги (товары, работы) включаются затраты с учетом требований настоящего Особого порядка. Формирование статей затрат осуществляется в соответствии со стандартами бухгалтерского учета.»;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«13. Параметры по системе оплаты труда работников субъекта утверждаются компетентным органом по согласованию с уполномоченным государственным органом по труду или местным исполнительным органом.</w:t>
      </w:r>
      <w:r>
        <w:br/>
      </w:r>
      <w:r>
        <w:rPr>
          <w:rFonts w:ascii="Times New Roman"/>
          <w:b w:val="false"/>
          <w:i w:val="false"/>
          <w:color w:val="000000"/>
          <w:sz w:val="28"/>
        </w:rPr>
        <w:t>
      Расходы на оплату труда производственного персонала, включаемые в затраты,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r>
        <w:br/>
      </w:r>
      <w:r>
        <w:rPr>
          <w:rFonts w:ascii="Times New Roman"/>
          <w:b w:val="false"/>
          <w:i w:val="false"/>
          <w:color w:val="000000"/>
          <w:sz w:val="28"/>
        </w:rPr>
        <w:t xml:space="preserve">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производственного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производственного персонала, сложившейся в регионе по данным статистики за месяц, предшествующий подаче заявки. </w:t>
      </w:r>
      <w:r>
        <w:br/>
      </w:r>
      <w:r>
        <w:rPr>
          <w:rFonts w:ascii="Times New Roman"/>
          <w:b w:val="false"/>
          <w:i w:val="false"/>
          <w:color w:val="000000"/>
          <w:sz w:val="28"/>
        </w:rPr>
        <w:t xml:space="preserve">
      При превышении заработной платы производственного персонала субъектов естественных монополий в сферах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сложившейся в регионе по данным статистики за месяц, предшествующий подаче заявки,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 </w:t>
      </w:r>
      <w:r>
        <w:br/>
      </w:r>
      <w:r>
        <w:rPr>
          <w:rFonts w:ascii="Times New Roman"/>
          <w:b w:val="false"/>
          <w:i w:val="false"/>
          <w:color w:val="000000"/>
          <w:sz w:val="28"/>
        </w:rPr>
        <w:t>
      Расходы на оплату труда административного персонала, включаемые в затраты, определяются исходя из фактической численности, но не превышающей нормативной численности персонала субъекта естественной монополии.</w:t>
      </w:r>
      <w:r>
        <w:br/>
      </w:r>
      <w:r>
        <w:rPr>
          <w:rFonts w:ascii="Times New Roman"/>
          <w:b w:val="false"/>
          <w:i w:val="false"/>
          <w:color w:val="000000"/>
          <w:sz w:val="28"/>
        </w:rPr>
        <w:t xml:space="preserve">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административного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административного персонала, сложившейся в регионе по данным статистики за месяц, предшествующий подаче заявки. </w:t>
      </w:r>
      <w:r>
        <w:br/>
      </w: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естественной монополии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пятнадцать раз.</w:t>
      </w:r>
      <w:r>
        <w:br/>
      </w:r>
      <w:r>
        <w:rPr>
          <w:rFonts w:ascii="Times New Roman"/>
          <w:b w:val="false"/>
          <w:i w:val="false"/>
          <w:color w:val="000000"/>
          <w:sz w:val="28"/>
        </w:rPr>
        <w:t>
      Расходы на премирование и другие виды вознаграждений к заработной плате, не включаемые в затратную часть тарифа (цены, ставки сбора), субъект естественной монополии (за исключением государственных предприятий), осуществляет из чистого дохода (фактической прибыли) при его наличии.</w:t>
      </w:r>
      <w:r>
        <w:br/>
      </w:r>
      <w:r>
        <w:rPr>
          <w:rFonts w:ascii="Times New Roman"/>
          <w:b w:val="false"/>
          <w:i w:val="false"/>
          <w:color w:val="000000"/>
          <w:sz w:val="28"/>
        </w:rPr>
        <w:t>
      Уполномоченный орган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Уполномоченный орган согласовывает субъекту естественной монополии проведение переоценки основных средств.</w:t>
      </w:r>
      <w:r>
        <w:br/>
      </w:r>
      <w:r>
        <w:rPr>
          <w:rFonts w:ascii="Times New Roman"/>
          <w:b w:val="false"/>
          <w:i w:val="false"/>
          <w:color w:val="000000"/>
          <w:sz w:val="28"/>
        </w:rPr>
        <w:t>
      Уполномоченный орган после проведения субъектом естественной монополии переоценки основных средств, поэтапно включает в затратную часть тарифа (цены, ставки сбора) увеличение амортизационных отчислений, за исключением субъектов естественных монополий, оказывающих услуги в сфере водоснабжения и (или) водоотведения.»;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В случае утверждения тарифа (цены, ставки сбора) и тарифных смет по инициативе уполномоченного органа, расходы общехозяйственного и административного назначения уполномоченный орган включает в тарифы (цены, ставки сборов) в пределах расходов, принятых в действовавших тарифах (ценах, ставках сборов), с учетом индекса потребительских цен за период, предшествующий изменению тарифов (цен, ставок сборов) в случаях предусмотренных пунктом 22 настоящего Особого порядка.»;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пункта 22 изложить в следующей редакции:</w:t>
      </w:r>
      <w:r>
        <w:br/>
      </w:r>
      <w:r>
        <w:rPr>
          <w:rFonts w:ascii="Times New Roman"/>
          <w:b w:val="false"/>
          <w:i w:val="false"/>
          <w:color w:val="000000"/>
          <w:sz w:val="28"/>
        </w:rPr>
        <w:t>
      «22. При формировании тарифа (цены, ставки сбора) уполномоченный орган определяет целесообразность изменения сумм расходов общехозяйственного и административного назначения, по результатам проведенной финансовой экспертизы деятельности субъекта естественной монополии, либо при снижении эффективности деятельности субъектов естественной монополии (увеличение себестоимости единицы оказываемой регулируемой услуги (товара, работы), снижение объемов оказываемых регулируемых услуг (товаров, работ), увеличение кредиторской и дебиторской задолженности.»;</w:t>
      </w:r>
      <w:r>
        <w:br/>
      </w:r>
      <w:r>
        <w:rPr>
          <w:rFonts w:ascii="Times New Roman"/>
          <w:b w:val="false"/>
          <w:i w:val="false"/>
          <w:color w:val="000000"/>
          <w:sz w:val="28"/>
        </w:rPr>
        <w:t>
</w:t>
      </w:r>
      <w:r>
        <w:rPr>
          <w:rFonts w:ascii="Times New Roman"/>
          <w:b w:val="false"/>
          <w:i w:val="false"/>
          <w:color w:val="000000"/>
          <w:sz w:val="28"/>
        </w:rPr>
        <w:t>
      дополнить пунктом 23-1 следующего содержания:</w:t>
      </w:r>
      <w:r>
        <w:br/>
      </w:r>
      <w:r>
        <w:rPr>
          <w:rFonts w:ascii="Times New Roman"/>
          <w:b w:val="false"/>
          <w:i w:val="false"/>
          <w:color w:val="000000"/>
          <w:sz w:val="28"/>
        </w:rPr>
        <w:t>
      «23-1. Расходы, связанные с изобретательством и рационализаторством производства, в рамках регулируемых услуг при наличии экономически обоснованных материалов, учитываются при формировании тарифов (цен, ставок сборов).»;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тридцать третий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(товаров, работ), организацией выставок, смотров, конкурсов и других мероприятий по изобретательству и рационализации, выплаты авторских вознаграждений и т.п.»;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В расчет тарифа (цены, ставки сбора) субъектов естественных монополий включается уровень прибыли (чистого дохода), определяемый как произведение ставки прибыли на величину регулируемой базы задействованных активов.</w:t>
      </w:r>
      <w:r>
        <w:br/>
      </w:r>
      <w:r>
        <w:rPr>
          <w:rFonts w:ascii="Times New Roman"/>
          <w:b w:val="false"/>
          <w:i w:val="false"/>
          <w:color w:val="000000"/>
          <w:sz w:val="28"/>
        </w:rPr>
        <w:t>
      При этом, если плановый уровень тарифа на услуги водоснабжения и (или) водоотведения превышает 200 тенге за метр кубический без налога на добавленную стоимость, ставка прибыли принимается на уровне ставки рефинансирования Национального Банка Республики Казахстан на дату подачи заявки на утверждение тарифа или его предельного уровня.».</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планирования и сводного анализа Агентства Республики Казахстан по регулированию естественных монополий (Мартыненко А.В.)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массовых информации.</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предоставлением сведений об опубликовании в Юридический департамент Агентства Республики Казахстан по регулированию естественных монополий (Метенова С.С.);</w:t>
      </w:r>
      <w:r>
        <w:br/>
      </w: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М. Оспанов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СОГЛАСОВАН:</w:t>
      </w:r>
      <w:r>
        <w:br/>
      </w:r>
      <w:r>
        <w:rPr>
          <w:rFonts w:ascii="Times New Roman"/>
          <w:b w:val="false"/>
          <w:i w:val="false"/>
          <w:color w:val="000000"/>
          <w:sz w:val="28"/>
        </w:rPr>
        <w:t>
</w:t>
      </w:r>
      <w:r>
        <w:rPr>
          <w:rFonts w:ascii="Times New Roman"/>
          <w:b/>
          <w:i w:val="false"/>
          <w:color w:val="000000"/>
          <w:sz w:val="28"/>
        </w:rPr>
        <w:t xml:space="preserve">Министр труда и социальной </w:t>
      </w:r>
      <w:r>
        <w:br/>
      </w:r>
      <w:r>
        <w:rPr>
          <w:rFonts w:ascii="Times New Roman"/>
          <w:b w:val="false"/>
          <w:i w:val="false"/>
          <w:color w:val="000000"/>
          <w:sz w:val="28"/>
        </w:rPr>
        <w:t>
</w:t>
      </w:r>
      <w:r>
        <w:rPr>
          <w:rFonts w:ascii="Times New Roman"/>
          <w:b/>
          <w:i w:val="false"/>
          <w:color w:val="000000"/>
          <w:sz w:val="28"/>
        </w:rPr>
        <w:t>защиты населения</w:t>
      </w:r>
      <w:r>
        <w:br/>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i w:val="false"/>
          <w:color w:val="000000"/>
          <w:sz w:val="28"/>
        </w:rPr>
        <w:t>_______________С. Абденов</w:t>
      </w:r>
    </w:p>
    <w:p>
      <w:pPr>
        <w:spacing w:after="0"/>
        <w:ind w:left="0"/>
        <w:jc w:val="both"/>
      </w:pPr>
      <w:r>
        <w:rPr>
          <w:rFonts w:ascii="Times New Roman"/>
          <w:b/>
          <w:i w:val="false"/>
          <w:color w:val="000000"/>
          <w:sz w:val="28"/>
        </w:rPr>
        <w:t>28 февраля 2013 год</w:t>
      </w:r>
    </w:p>
    <w:p>
      <w:pPr>
        <w:spacing w:after="0"/>
        <w:ind w:left="0"/>
        <w:jc w:val="both"/>
      </w:pPr>
      <w:r>
        <w:rPr>
          <w:rFonts w:ascii="Times New Roman"/>
          <w:b/>
          <w:i w:val="false"/>
          <w:color w:val="000000"/>
          <w:sz w:val="28"/>
        </w:rPr>
        <w:t>СОГЛАСОВАН:</w:t>
      </w:r>
      <w:r>
        <w:br/>
      </w:r>
      <w:r>
        <w:rPr>
          <w:rFonts w:ascii="Times New Roman"/>
          <w:b w:val="false"/>
          <w:i w:val="false"/>
          <w:color w:val="000000"/>
          <w:sz w:val="28"/>
        </w:rPr>
        <w:t>
</w:t>
      </w:r>
      <w:r>
        <w:rPr>
          <w:rFonts w:ascii="Times New Roman"/>
          <w:b/>
          <w:i w:val="false"/>
          <w:color w:val="000000"/>
          <w:sz w:val="28"/>
        </w:rPr>
        <w:t>Министр экономики</w:t>
      </w:r>
      <w:r>
        <w:br/>
      </w:r>
      <w:r>
        <w:rPr>
          <w:rFonts w:ascii="Times New Roman"/>
          <w:b w:val="false"/>
          <w:i w:val="false"/>
          <w:color w:val="000000"/>
          <w:sz w:val="28"/>
        </w:rPr>
        <w:t>
</w:t>
      </w:r>
      <w:r>
        <w:rPr>
          <w:rFonts w:ascii="Times New Roman"/>
          <w:b/>
          <w:i w:val="false"/>
          <w:color w:val="000000"/>
          <w:sz w:val="28"/>
        </w:rPr>
        <w:t>и бюджетного планирования</w:t>
      </w:r>
      <w:r>
        <w:br/>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i w:val="false"/>
          <w:color w:val="000000"/>
          <w:sz w:val="28"/>
        </w:rPr>
        <w:t>_______________Е. Досаев</w:t>
      </w:r>
    </w:p>
    <w:p>
      <w:pPr>
        <w:spacing w:after="0"/>
        <w:ind w:left="0"/>
        <w:jc w:val="both"/>
      </w:pPr>
      <w:r>
        <w:rPr>
          <w:rFonts w:ascii="Times New Roman"/>
          <w:b/>
          <w:i w:val="false"/>
          <w:color w:val="000000"/>
          <w:sz w:val="28"/>
        </w:rPr>
        <w:t>19 февраля 2013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