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0a8b" w14:textId="b69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экономического развития и торговли Республики Казахстан от 30 мая 2012 года № 179 "Об утверждении Методики по оценке эффективности достижения и реализации стратегических целей и задач в курируемых отрасли/сфере/регионе"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25 февраля 2013 года № 50. Зарегистрирован в Министерстве юстиции Республики Казахстан 14 марта 2013 года № 8377. Утратил силу приказом Министра экономики и бюджетного планирования Республики Казахстан от 4 июня 2014 года № 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04.06.2014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30 мая 2012 года № 179 "Об утверждении Методики по оценке эффективности достижения и реализации стратегических целей и задач в курируемых отрасли/сфере/регионе" (зарегистрированный в Реестре государственной регистрации нормативных правовых актов 28 июня 2012 года за № 7761, опубликованный 21 июля 2012 года в газете "Казахстанская правда" № 234-235)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эффективности достижения и реализации стратегических целей и задач в курируемых отрасли/сфере/регионе,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экономики и бюджетного планирования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экономического развития и торговли Республики Казахстан Абылкасымову М.Е.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50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2012 года № 179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
по оценке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>
целей и задач в курируемых отрасли/сфере/регионе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Настоящая Методика по оценке эффективности достижения и реализации стратегических целей и задач в курируемых отрасли/сфере/регионе исполнительных органов, финансируемых из местных бюджетов (далее - Методика)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573 "Об утверждении Правил проведения оценки эффективности деятельности исполнительных органов, финансируемых из областного бюджета, бюджетов города республиканского значения, столицы, местных исполнительных органов районов (городов областного значения)"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Методика предназначена для определения эффективности мер оцениваемых исполнительных органов, финансируемых из бюджета города республиканского значения, столицы, местных исполнительных органов районов (городов областного значения) (далее - государственные органы), направленных на развитие курируемой отрасли/сферы/региона.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Оценка эффективности достижения и реализации стратегических целей и задач в курируемых отрасли/сфере/регионе (далее - Оценка эффективности) осуществляется согласно Графику проведения оценки эффективности деятельности исполнительных органов, финансируемых из бюджета города республиканского значения, столицы, местных исполнительных органов районов (городов областного значения) (далее - График оценки), утвержденному акиматом области,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эффективности осуществляется уполномоченным органом по государственному планированию области, города республиканского значения, столицы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эффективности Уполномоченным органом создается рабочая подгруппа из числа должностных лиц (далее - Рабочая подгруппа), являющаяся подгруппой рабочего органа Региональной экспертной комиссии по формированию экспертного заключения о результатах общей оценки эффективности по направлениям в рамках Правил (далее - Региональная экспертная комиссия).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Источники информации для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достижения и реализации стратегических целей и задач в</w:t>
      </w:r>
      <w:r>
        <w:br/>
      </w:r>
      <w:r>
        <w:rPr>
          <w:rFonts w:ascii="Times New Roman"/>
          <w:b/>
          <w:i w:val="false"/>
          <w:color w:val="000000"/>
        </w:rPr>
        <w:t>
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Оценка эффективности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разделов 2, 3 стратегического плана аппарата акима района в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 реализации стратегического плана аппарата акима района в городе республиканского значения, столице;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разделов 2, 3, 4 Программы развития территории района, города областного значения (далее - Программы развития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отчета о реализации 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Рабочая подгруппа проводит анализ сведений, получаемых из всех источников, на предмет их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Достоверность данных подтверждается статистическими данными, а также данными отраслевых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Перепроверка данных, содержащихся</w:t>
      </w:r>
      <w:r>
        <w:br/>
      </w:r>
      <w:r>
        <w:rPr>
          <w:rFonts w:ascii="Times New Roman"/>
          <w:b/>
          <w:i w:val="false"/>
          <w:color w:val="000000"/>
        </w:rPr>
        <w:t>
в отчетной информации оцениваемых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 соответствии с пунктом 42 Правил Уполномоченным органом осуществляется перепроверка данных, содержащихся в отчетной информации оцениваемых государственных органов (далее - Перепроверка).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Перепроверка проводится на предмет определения достоверности информации по достижению прямых и конечных результатов стратегического плана государственных органов/Программы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Перепроверка проводится в соответствии с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Перепроверка данных осуществляется путем сбора и анализа подтверждающих документов (статистические данные, ведомственные отчеты, акты выполненных работ и оказанных услуг, протокола, письма и другая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Процедура перепроверки состоит из запрашивания у оцениваемых государственных органов подтверждающих документов, проведения сверки отчетной информации, составления Акта сверки по итогам перепроверки данных, содержащихся в отчетной информации (далее - Акт сверки)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рамках Перепроверки Уполномоченный орган вправе получать электронные копии подтверждающих документов, кроме документов, имеющих гриф секретности.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эффективности достижения и реализации стратегических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целей и задач в курируемых отрасли/сфере/регионе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Оценка эффективности осуществляется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качество и полнота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достижение целей и задач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Оценка эффективности рассчитывается с учетом весового значения каждого критерия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(0,2 х B + 0,8 х D) х 100 % - W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- оценка эффективности достижения и реализации стратегических целей и задач в курируемых отрасли/сфере/регионе;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качество и полнота анализа стратегического плана/Программы развития территории, весовое значение - 0,2;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коэффициент достижения целей и задач стратегического плана/ Программы развития территории, весовое значение - 0,8;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 - вычет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Расчет по критерию "Качество и полнота анализа стратегического плана/Программы развития территории" осуществляется на основании соответствующих разделов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качества и полноты анализа выявляется экспертным путем в соответствии с нормативными правовыми актами в сфере государственного планирования, в частности, разработки стратегических планов/Программ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качества и полноты анализа стратегического плана/Программы развития территории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качества и полноты анализа каждой основной сферы/направления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основных сфер/направлений деятельности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сфера деятельности имеет два и более направлений, то каждому направлению присваивается соответствующий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сфере коэффициент (</w:t>
      </w: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равен сумме коэффициентов по каждому направлению, деленной на количество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Оценка качества и полноты анализа стратегического плана/Программы развития территории осуществляется в разрезе основных сфер/направлений деятельности государственного органа согласно приложению 2 к настоящей Методике и взаимосвязи соответствующих разделов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основных проблем в регулируемой сфере/направлении с соответствующим анализом потребностей населения/благополучателей, на решение которых направлен стратегический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взаимосвязь второго раздела с третьим разделом стратегического плана/второго, третьего разделов с четвертым разделом Программы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каждая основная сфера/направление деятельности государственного органа (</w:t>
      </w: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оценивается по вышеперечисленным двум параметрам (</w:t>
      </w: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764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на каждый вышеуказанный параметр (</w:t>
      </w:r>
      <w:r>
        <w:drawing>
          <wp:inline distT="0" distB="0" distL="0" distR="0">
            <wp:extent cx="254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 присваивается соответствующий коэффициент: 1; 0,5;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параметру (</w:t>
      </w:r>
      <w:r>
        <w:drawing>
          <wp:inline distT="0" distB="0" distL="0" distR="0">
            <wp:extent cx="279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плане/Программе развития территории отражены все основные проблемы с соответствующим анализом потребностей населения/благополучателей, то </w:t>
      </w:r>
      <w:r>
        <w:drawing>
          <wp:inline distT="0" distB="0" distL="0" distR="0">
            <wp:extent cx="825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плане/Программе развития территории основные проблемы отражены частично и/или с неполным анализом потребностей населения/благополучателей, то </w:t>
      </w:r>
      <w:r>
        <w:drawing>
          <wp:inline distT="0" distB="0" distL="0" distR="0">
            <wp:extent cx="1041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стратегическом плане/Программе развития территории основные проблемы не отражены в стратегическом плане и/или не проводился анализ потребностей населения/благополучателей, то </w:t>
      </w:r>
      <w:r>
        <w:drawing>
          <wp:inline distT="0" distB="0" distL="0" distR="0">
            <wp:extent cx="812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второму параметру (</w:t>
      </w: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плана/Программы развития территории (отраженные проблемы, приоритеты развития и др.) в соответствующей сфере/направлении взаимосвязан с третьим разделом стратегического плана/ четвертым разделом Программы развития территории через предусмотренные целевые индикаторы/показатели/мероприятия, то </w:t>
      </w:r>
      <w:r>
        <w:drawing>
          <wp:inline distT="0" distB="0" distL="0" distR="0">
            <wp:extent cx="850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плана/Программы развития территории (отраженные проблемы, приоритеты развития и др.) в соответствующей сфере/направлении частично взаимосвязан с третьим разделом стратегического плана/четвертым разделом Программы развития территории и не полностью предусмотрены целевые индикаторы/показатели/ мероприятия, то </w:t>
      </w:r>
      <w:r>
        <w:drawing>
          <wp:inline distT="0" distB="0" distL="0" distR="0">
            <wp:extent cx="1054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анализ стратегического плана/Программы развития территории (отраженные проблемы, приоритеты развития и др.) в соответствующей сфере/направлении не взаимосвязан с третьим разделом стратегического плана/ четвертым разделом Программы развития территории, то </w:t>
      </w:r>
      <w:r>
        <w:drawing>
          <wp:inline distT="0" distB="0" distL="0" distR="0">
            <wp:extent cx="825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рамках второго параметра, помимо показателей единого перечня, анализируются показатели, включенные в Программу развития территории самими местными исполнительными органами, с учетом специфики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 Критерий "Достижение целей и задач стратегического плана/ Программы развития территории" определяется путем расчета коэффициента достижения целей. Коэффициент достижения целей в свою очередь состоит из двух составляющих: коэффициента достижения целевых индикаторов, запланированных в достижение соответствующей цели, и коэффициента реализации задач,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Расчет коэффициента критерия "Достижение целей и задач стратегического плана/Программы развития территории"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748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  - коэффициент достижения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  - коэффициент достижения каждой цели с соответствующими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каждой цели с соответствующими задачами (</w:t>
      </w:r>
      <w:r>
        <w:rPr>
          <w:rFonts w:ascii="Times New Roman"/>
          <w:b w:val="false"/>
          <w:i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производится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достижения цели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цели (</w:t>
      </w:r>
      <w:r>
        <w:rPr>
          <w:rFonts w:ascii="Times New Roman"/>
          <w:b w:val="false"/>
          <w:i/>
          <w:color w:val="000000"/>
          <w:sz w:val="28"/>
        </w:rPr>
        <w:t>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272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достижения каждого целевого индикатора, предусмотренного в достижение соответствующей цели;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целевых индикаторов, предусмотренных в достижение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целевого индикатора (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>), предусмотренного в достижение соответствующей цели стратегического плана/ Программы развития территории осуществляется путем соотношения фактического исполнения (улучшения либо ухудшения) к запланированному улучшению.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если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= 1, если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 xml:space="preserve">&lt; 0,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j </w:t>
      </w:r>
      <w:r>
        <w:rPr>
          <w:rFonts w:ascii="Times New Roman"/>
          <w:b w:val="false"/>
          <w:i w:val="false"/>
          <w:color w:val="000000"/>
          <w:sz w:val="28"/>
        </w:rPr>
        <w:t>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достижения целей стратегического плана/Программы развития территории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индикатор, не имеющий планового значения на отчетный период, в расчет коэффициента достижения цели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целевой индикатор в расчет коэффициента достижения цели не принимается.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реализации задач (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), запланированных в реализацию соответствующей цели стратегического плана/Программы развития территории, определяется путем анализа достижения каждого показателя прямого результата, предусмотренного во исполнение соответствующей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степени реализации задач стратегического плана/Программы развития территории, запланированных в реализацию соответствующей цели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задач стратегического плана/Программы развития территории, запланированных в реализацию соответствующей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каждой задачи стратегического плана/Программы развития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2032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задач стратегического плана/Программы развития территории, запланированных в реализацию соответствующей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расчет коэффициента реализации каждой задачи стратегического плана/Программы развития территории (</w:t>
      </w:r>
      <w:r>
        <w:rPr>
          <w:rFonts w:ascii="Times New Roman"/>
          <w:b w:val="false"/>
          <w:i/>
          <w:color w:val="000000"/>
          <w:sz w:val="28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>) осуществляется по следующей формуле: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018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 реализации каждого показателя прямого результата, предусмотренного в реализацию соответствующей задачи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показателей прямых результатов, предусмотренных в реализацию соответствующей задачи стратегического плана/Программы развития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достижения каждого показателя прямого результата стратегического плана/Программы развития территории, предусмотренного в реализацию соответствующей задачи стратегического плана/Программы развития территории (</w:t>
      </w: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), осуществляется путем соотношения фактического исполнения (улучшения либо ухудшения) к запланированному.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если </w:t>
      </w: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1, то </w:t>
      </w: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= 1, если </w:t>
      </w: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&lt; 0, то </w:t>
      </w:r>
      <w:r>
        <w:drawing>
          <wp:inline distT="0" distB="0" distL="0" distR="0">
            <wp:extent cx="317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=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коэффициента реализации задач стратегического плана/Программы развития территории учитывается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прямого результата, не имеющий планового значения на отчетный период, в расчет коэффициента реализации задачи не принимается;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статистических данных на момент проведения оценки, в расчет принимаются оперативные данные. При невозможности представления оперативных данных, показатель прямого результата в расчет коэффициента реализации задач не принимается.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 о результатах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
достижения и реализации стратегических целей и задач</w:t>
      </w:r>
      <w:r>
        <w:br/>
      </w:r>
      <w:r>
        <w:rPr>
          <w:rFonts w:ascii="Times New Roman"/>
          <w:b/>
          <w:i w:val="false"/>
          <w:color w:val="000000"/>
        </w:rPr>
        <w:t>
в курируемых отрасли/сфере/регионе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Заключение о результатах оценки эффективности деятельности местного исполнительного органа по достижению и реализации стратегических целей и задач в курируемых отрасли/сфере/регионе (далее - Заключение) составляется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"Баллы" указываются баллы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"Коэффициент" указываются коэффициенты в разрезе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"Вычет баллов" указываются вычтенные баллы в соответствии с разделом 8 настоящей Методики;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"Общая оценка" указывается общий балл, рассчитанный по формуле согласно пункту 15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"Аналитический отчет и выводы по оценке деятельности местного исполнительного органа" приводится подробный анализ результатов достижения и реализации запланированных целей и задач местного исполнительного органа,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качества и полноты анализа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достижения целей и задач стратегического плана/Программы развития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вычете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в данном разделе отражаются соответствующие выводы в зависимости от результатов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"Рекомендации по улучшению деятельности местного исполнительного органа" подробно описываются рекомендации по дальнейшему улучшению деятельности государственного органа, а также иные имеющиеся рекомендации.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Процедура обжалования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С момента получения Заключения оцениваемый государственный орган в случае несогласия с результатами оценки в течение пяти рабочих дней направляет в уполномоченный на оценку государственный орган свои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Обжалование результатов оценки должно быть аргументированным и обоснованным с представлением подтверждающих документов. Возражения без подтверждающих документов и обоснования, противоречащие положениям нормативных правовых актов в сфере государственного планирования и правил разработки стратегических планов/Программы развития территории, не рассматриваются.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отсутствия возражений к результатам оценки оцениваемый государственный орган в течение пяти рабочих дней предоставляет в уполномоченный на оценку государственный орган соответствующее уведомление. По истечении установленного срока возражения оцениваемых государственных органов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Для проведения процедуры обжалования в уполномоченном на оценку государственном органе формируется Специальная комиссия, в состав которой не могут входить сотрудники, участвовавшие в оценке государственных органов, представивших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состав Специальной комиссии определяются уполномоченным на оценку государственным органом самостоятельно. Состав Специальной комиссии определяется не менее 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течение пяти рабочих дней со дня получения возражений от оцениваемых государственных органов с подтверждающими документами,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(далее - Таблица разногласий)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государственных органов, подавших возражения, представители заинтересованных отраслевых центральных государственных органов, а также сотрудники, участвовавшие в оценке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заседаний Специальной комиссии Таблицы разногласий дорабатываются, подписываются председателем Специальной комиссии и доводятся до сведения оцениваемого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итоговые заключения.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</w:t>
      </w:r>
      <w:r>
        <w:br/>
      </w:r>
      <w:r>
        <w:rPr>
          <w:rFonts w:ascii="Times New Roman"/>
          <w:b/>
          <w:i w:val="false"/>
          <w:color w:val="000000"/>
        </w:rPr>
        <w:t>
и упраздненных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30.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органа-правопреемника в соответствии с данной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реорганизации или упразднения государственного органа во втором полугодии оцениваемого года оценка его деятельности не осуществляется, а результаты анализа деятельности данного государственного органа учитываются при разработке рекомендаций и предложений, данных по итогам оценки государственному органу - правопреемнику.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определения своевременности, полноты и</w:t>
      </w:r>
      <w:r>
        <w:br/>
      </w:r>
      <w:r>
        <w:rPr>
          <w:rFonts w:ascii="Times New Roman"/>
          <w:b/>
          <w:i w:val="false"/>
          <w:color w:val="000000"/>
        </w:rPr>
        <w:t>
достоверности отчетной информации оцениваемых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32. Оцениваемый государственный орган своевременно предоставляет уполномоченному на оценку государственному органу полную и достоверную отчетную информацию в соответствии с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представления несвоевременной, неполной или недостоверной отчетной информации, из итоговой оценки государственного органа по данному направлению вычитаются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Несвоевременной признается отчетная информация, представленная в уполномоченный на оценку государственный орган позже срока, предусмотренного Графиком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несвоевременной отчетной информации производится вычитание 1,5 (полтора)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Неполной признается отчетная информация, в которой отсутствуют элементы (приложения, разделы, таблицы, значения показателей и др.), предусмотренные установленными требованиями к структуре отчетной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неполной отчетной информации производится вычитание 2 (двух)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Недостоверной признается отчетная информация, в ходе перепроверки которой выявлены несоответствующие действительности факты.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фиксируются в Акте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представление государственным органом недостоверной отчетной информации производится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Информация о вычетах отражается в Заключении в разделе "Аналитический отчет и выводы по оценке деятельности местного исполнительного органа".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отрасли/сфере/регионе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перепроверки данных, содержащихся в отчетной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центрального государственного органа/местного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712"/>
        <w:gridCol w:w="2460"/>
      </w:tblGrid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Вычитаемые баллы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 отчетной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неполной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недостоверной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Согласно Графику оценки срок представления государственным органом отчетной информации: "____" ____________ 201_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Фактическая дата представления отчетной информации: "____" _______ 201_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Представлена неполная информация, в том числе отсутствуют следующие  элементы (приложения, разделы, таблицы, значения показателей и др.), предусмотренные установленными требованиями к структуре отчетной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Представлена недостоверная информация. В ходе перепроверки выявлены следующие несоответствия действительности фактов: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178"/>
        <w:gridCol w:w="2059"/>
        <w:gridCol w:w="2231"/>
        <w:gridCol w:w="2554"/>
        <w:gridCol w:w="1650"/>
        <w:gridCol w:w="1738"/>
      </w:tblGrid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перепроверки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Итоговый вычет: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должность      ________   ___________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(дата)     (подпись)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госоргана, должность   ________   ___________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(дата)     (подпись)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отрасли/сфере/регионе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сфер деятельности местных исполнительных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491"/>
        <w:gridCol w:w="8302"/>
        <w:gridCol w:w="2368"/>
      </w:tblGrid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сферы/направления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бизнес, торговля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и инвестиции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сфера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 и социальная защита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и развитие языков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спорт, туризм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политика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безопасность и правопорядок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и коммуникация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и транспорт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сельских территорий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Сфера</w:t>
            </w:r>
          </w:p>
        </w:tc>
        <w:tc>
          <w:tcPr>
            <w:tcW w:w="8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отрасли/сфере/регионе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Заключение о результатах оценки 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реализации стратегических целей и задач в курируемых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отрасли/сфере/регионе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(отчетный период)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8866"/>
        <w:gridCol w:w="2386"/>
        <w:gridCol w:w="1220"/>
      </w:tblGrid>
      <w:tr>
        <w:trPr>
          <w:trHeight w:val="37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полнота анализа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плана/Программы развития территории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целей и задач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плана/Программы развития территории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 баллов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оценка: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Аналитический отчет и выводы по оценке деятельности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Рекомендации по улучшению деятельности местного исполнительного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органа/структурного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аппарата акима области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органа               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"__"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Методике по оценке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эффективности достижения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реализации стратегических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и задач в курируемых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отрасли/сфере/регионе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Таблица разногласий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результатам оценки эффективности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 направлению "Достижение и реализация стратегических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задач в курируемых отрасли/сфере/регионе"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518"/>
        <w:gridCol w:w="3202"/>
        <w:gridCol w:w="2632"/>
        <w:gridCol w:w="4090"/>
      </w:tblGrid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(принято/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отклонено)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принятия/отклонения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возражения)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Выводы: по критерию 1: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критерию 2: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балл с учетом итогов обжалования составил 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  __________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(дата)    (подпись)      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итогами обжалования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оцениваемого госоргана,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 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(дата)    (подпись)       (расшифровка 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