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ed64e" w14:textId="c8ed6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регулированию естественных монополий от 21 сентября 2012 года № 243-ОД "Об утверждении Регламентов электронных государственных услуг, оказываемых Агентством Республики Казахстан по регулированию естественных монополий"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13 февраля 2013 года № 47-ОД. Зарегистрирован в Министерстве юстиции Республики Казахстан 14 марта 2013 года № 8374. Утратил силу приказом Председателя Агентства Республики Казахстан по регулированию естественных монополий от 3 марта 2014 года № 51-ОД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Председателя Агентства РК по регулированию естественных монополий от 03.03.2014 </w:t>
      </w:r>
      <w:r>
        <w:rPr>
          <w:rFonts w:ascii="Times New Roman"/>
          <w:b w:val="false"/>
          <w:i w:val="false"/>
          <w:color w:val="ff0000"/>
          <w:sz w:val="28"/>
        </w:rPr>
        <w:t>№ 51-ОД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«Об информатизации»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21 сентября 2012 года № 243-ОД «Об утверждении Регламентов электронных государственных услуг, оказываемых Агентством Республики Казахстан по регулированию естественных монополий» (зарегистрированный в Реестре государственной регистрации нормативных правовых актов № 7951, опубликованный в газете «Казахстанская правда» от 8 декабря 2012 года № 427-428 (27246-27247)),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«Выдача лицензии, переоформление, выдача дубликатов лицензии на деятельность по эксплуатации магистральных газопроводов, нефтепроводов, нефтепродуктопроводов», утвержденный указанным приказом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контроля и исковой работы Агентства Республики Казахстан по регулированию естественных монополий (Аламан А.Т.)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административной работы Агентства Республики Казахстан по регулированию естественных монополий (Базарбаев С.П.) после государственной регистрации настоящего приказа в Министерстве юстиции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законодательством порядке его официальное опубликование в средствах массовой информации, с последующим представлением в Юридический Департамент Агентства Республики Казахстан по регулированию естественных монополий (Метенова С.С.) сведений об опубликовании;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Шкарупа А.В.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М. 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А. Жумагалиев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13 февраля 2013 год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Агентства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регулированию естественных монополий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февраля 2013 года № 47-ОД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по регулированию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естественных монополий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сентября 2012 года № 243-ОД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лицензии, переоформление, выдача дубликатов лицензии</w:t>
      </w:r>
      <w:r>
        <w:br/>
      </w:r>
      <w:r>
        <w:rPr>
          <w:rFonts w:ascii="Times New Roman"/>
          <w:b/>
          <w:i w:val="false"/>
          <w:color w:val="000000"/>
        </w:rPr>
        <w:t>
на деятельность по эксплуатации магистральных газопроводов,</w:t>
      </w:r>
      <w:r>
        <w:br/>
      </w:r>
      <w:r>
        <w:rPr>
          <w:rFonts w:ascii="Times New Roman"/>
          <w:b/>
          <w:i w:val="false"/>
          <w:color w:val="000000"/>
        </w:rPr>
        <w:t>
нефтепроводов, нефтепродуктопроводов»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Электронная государственная услуга «Выдача лицензии, переоформление, выдача дубликатов лицензии на деятельность по эксплуатации магистральных газопроводов, нефтепроводов, нефтепродуктопроводов» (далее – услуга) оказывается Агентством Республики Казахстан по регулированию естественных монополий и его территориальными органами (далее – услугодатель), через центры обслуживания населения (далее – центр), а также через веб-портал «электронного правительства» www.egov.kz или веб-портал «Е-лицензирование»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на деятельность по эксплуатации магистральных газопроводов, нефтепроводов, нефтепродуктопроводов», утвержденного постановлением Правительства Республики Казахстан от 31 августа 2012 года № 1132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аппаратно–программного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бизнес–идентификационный номер - уникальный номер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–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веб–портал «Е-лицензирование» –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 (далее – ИС ГБД «Е-лицензирование»);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база данных «Физические лица»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 база данных «Юридические лица» -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ЮЛ);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информационная система центров обслуживания населения Республики Казахстан -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 (далее – ИС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структурно–функциональные единицы (далее - СФЕ) - перечень структурных подразделений государственных органов, учреждений или иных организаций, которые участвуют в процессе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пользователь – субъект (потребитель, услугодатель),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потребитель – физическое или юридическое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электронный документ – документ, в котором информация представлена в электронно–цифровой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электронная лицензия – лицензия в форме электронного документа, оформляемая и выдаваемая с использованием информационных технологий, равнозначная лицензии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веб–портал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–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платежный шлюз «электронного правительства» – автоматизированная информационная система, предназначенная для обеспечения взаимодействия между информационными системами банков второго уровня, организаций, осуществляющих отдельные виды банковских операций, и «электронного правительства» при осуществлении платежей физических и юридических лиц (далее – ПШЭП);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к порядку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Пошаговые действия и решения услугодателя через ПЭП (диаграмма № 1 функционального взаимодействия при оказании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своего регистрационного свидетельства ЭЦП, которое хранится в интернет-браузере компьютера потребителя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потребителя регистрационного свидетельства ЭЦП, процесс ввода потребителем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логин (ИИН/БИН)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имеющимися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ПШЭП, а затем эта информация поступает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«Е-лицензирование»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потребителем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потребителя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потребителя) в ИС ГБД «Е-лицензирование» и обработка запроса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потребителя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потребителя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потребителем результата услуги (электронная лицензия), сформированной ПЭП.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через услугодателя (диаграмма № 2 функционального взаимодействия при оказании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«Е-лицензирование»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«Е - лицензирование»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«Е – лицензирование» сообщения об отказе в авторизации в связи с имеющими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 ГБД ФЛ/ГБД ЮЛ о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потребителя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потребителя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потребителем,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«Е-лицензирование» и обработка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потребителя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услуге в связи с имеющимися нарушениями в данных потребителя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потребителем результата услуги (электронная лицензия) сформированной ИС ГБД «Е-лицензирование».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и решения оператора Центра через ЦОН (диаграмма № 2) функционального взаимодействия при оказании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оператора Центра в АРМ ИС ЦОН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Центра услуги, указанной в настоящем Регламенте, вывод на экран формы запроса для оказания услуги и ввод оператором Центра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ФЛ/ГБД ЮЛ о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потребителя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потребителя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Центра формы запроса в части отметки о наличии документов в бумажной форме и сканирование документов, предоставленных потребителем,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6 - направление электронного документа (запроса потребителя) удостоверенного (подписанного) ЭЦП оператора Центра через ШЭП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(обработка) услугодателем соответствия приложенных потребителем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8 - формирование сообщения об отказе в запрашиваемой услуге в связи с имеющимися нарушениями в документах потребителя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потребителем через оператора Центра результата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Формы заполнения запроса и ответа на услугу приведены на веб-портал «Е-лицензирование»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После обработки запроса потребителю предоставляется возможность просмотреть результаты обработки запроса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нажатия кнопки «открыть» – результат запроса выводится на экран дисплея;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нажатия кнопки «сохранить» – результат запроса сохраняется на заданном потребителем электронном носителе информации в формате PDF.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Необходимую информацию и консультацию по оказанию электронной государственной услуги можно получить по телефону call-центра: (1414) либо по телефону информационно-справочной службы ЦОН: 8 (7172) 58–00–58.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СФЕ, которые участвуют в процессе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АРМ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услугодатель.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Диаграмма, отражающая взаимосвязь между логической последовательностью действий (в процессе оказания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Результаты оказания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Требования, предъявляемые к процессу оказания услуги потребителям: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ИИН/БИН у лица, которому выдается электронная лицензия;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 пользователя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наличие банковской карточки или текущего счета в банке второго уровня.»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 по эксплуатации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магистральных газопроводов,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нефтепроводов, нефтепродуктопроводов»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Пошаговые действия и решения через услугодателя Диаграмма № 1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ПЭП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1633200" cy="426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6332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услугодателя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0820400" cy="595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820400" cy="595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3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ИС ЦОН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0363200" cy="563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363200" cy="56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181600" cy="534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534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деятельность по эксплуатации магистральных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газопроводов, нефтепроводов,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нефтепродуктопроводов»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 Текстовое табличное описание последовательности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действий (процедур, функций, операций)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 Таблица 1. Описание действий СФЕ через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1294"/>
        <w:gridCol w:w="906"/>
        <w:gridCol w:w="1035"/>
        <w:gridCol w:w="906"/>
        <w:gridCol w:w="906"/>
        <w:gridCol w:w="782"/>
        <w:gridCol w:w="906"/>
        <w:gridCol w:w="1165"/>
        <w:gridCol w:w="906"/>
        <w:gridCol w:w="1294"/>
        <w:gridCol w:w="1165"/>
        <w:gridCol w:w="1166"/>
      </w:tblGrid>
      <w:tr>
        <w:trPr>
          <w:trHeight w:val="6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0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ПШЭП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ПЭП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ие»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ние»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79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браузе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ЭЦП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подлинности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получателя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ЭЦП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(запроса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ние»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ние»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лицензия)</w:t>
            </w:r>
          </w:p>
        </w:tc>
      </w:tr>
      <w:tr>
        <w:trPr>
          <w:trHeight w:val="169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ионно–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запроса.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услуге.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уведомления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запроса.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действия.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услуге.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услуге.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заявлению.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услуге.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</w:t>
            </w:r>
          </w:p>
        </w:tc>
      </w:tr>
      <w:tr>
        <w:trPr>
          <w:trHeight w:val="8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ризац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шно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оплатил;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оплатил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ошибка;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ошибки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икацио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 Таблица 2. Описание действий СФЕ через услугодателя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"/>
        <w:gridCol w:w="1178"/>
        <w:gridCol w:w="1178"/>
        <w:gridCol w:w="1031"/>
        <w:gridCol w:w="1326"/>
        <w:gridCol w:w="1326"/>
        <w:gridCol w:w="1179"/>
        <w:gridCol w:w="1179"/>
        <w:gridCol w:w="1769"/>
        <w:gridCol w:w="1031"/>
        <w:gridCol w:w="1327"/>
      </w:tblGrid>
      <w:tr>
        <w:trPr>
          <w:trHeight w:val="67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«Е-лицензирование»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Услугодатель 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ГБД ЮЛ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«Е-лицензирование»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«Е-лицензирование»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«Е-лицензирование»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«Е-лицензирование»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нзирование»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ГБД ЮЛ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данных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«Е-лицензирование»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ИС ГБД «Е-лицензирование»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с имеющимися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«Е-лицензирование»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лицензия)</w:t>
            </w:r>
          </w:p>
        </w:tc>
      </w:tr>
      <w:tr>
        <w:trPr>
          <w:trHeight w:val="169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распорядительное решение)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услуге.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услуге.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заявлению.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услуге.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</w:t>
            </w:r>
          </w:p>
        </w:tc>
      </w:tr>
      <w:tr>
        <w:trPr>
          <w:trHeight w:val="30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</w:t>
            </w:r>
          </w:p>
        </w:tc>
      </w:tr>
      <w:tr>
        <w:trPr>
          <w:trHeight w:val="64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«Е-лицензирование»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подлинности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пароля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услугодателя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успешно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«Е-лицензирование»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запросу,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запросу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найдены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  <w:r>
        <w:rPr>
          <w:rFonts w:ascii="Times New Roman"/>
          <w:b/>
          <w:i w:val="false"/>
          <w:color w:val="000000"/>
          <w:sz w:val="28"/>
        </w:rPr>
        <w:t>Таблица 3. Описание действий СФЕ через Центр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"/>
        <w:gridCol w:w="1247"/>
        <w:gridCol w:w="1248"/>
        <w:gridCol w:w="1091"/>
        <w:gridCol w:w="1403"/>
        <w:gridCol w:w="1403"/>
        <w:gridCol w:w="1248"/>
        <w:gridCol w:w="1716"/>
        <w:gridCol w:w="624"/>
        <w:gridCol w:w="1249"/>
        <w:gridCol w:w="624"/>
      </w:tblGrid>
      <w:tr>
        <w:trPr>
          <w:trHeight w:val="675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 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ФЛ/ГБД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ЮЛ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Центра 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«Е-лицензирование»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«Е-лицензирование» 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«Е-лицензирование» </w:t>
            </w:r>
          </w:p>
        </w:tc>
      </w:tr>
      <w:tr>
        <w:trPr>
          <w:trHeight w:val="3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паролю 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ФЛ/ГБД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ЮЛ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ЭЦП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(подписанного)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«Е-лицензирование» 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лицензия) </w:t>
            </w:r>
          </w:p>
        </w:tc>
      </w:tr>
      <w:tr>
        <w:trPr>
          <w:trHeight w:val="3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заявлению.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запроса.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запроса.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запроса.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заявлению.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отказа.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</w:t>
            </w:r>
          </w:p>
        </w:tc>
      </w:tr>
      <w:tr>
        <w:trPr>
          <w:trHeight w:val="30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</w:t>
            </w:r>
          </w:p>
        </w:tc>
      </w:tr>
      <w:tr>
        <w:trPr>
          <w:trHeight w:val="3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 по эксплуатации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магистральных газопроводов,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нефтепроводов, нефтепродуктопроводов»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 Результаты качества и доступности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услуги потребителям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Форма анкеты для определения показателей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электронной государственной услуги: «качество» и «доступность»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