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4d73" w14:textId="962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27 декабря 2011 года № 33-4 "Об установлении ставок налогов и стоимости разовых талонов по Бурлинскому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апреля 2012 года № 3-5. Зарегистрировано Департаментом юстиции Западно-Казахстанской области 14 мая 2012 года № 7-3-130. Утратило силу - решением Бурлинского районного маслихата Западно-Казахстанской области от 14 декабря 2012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Бурлинского районного маслихата Западно-Казахстанской области от 14.12.2012 № 8-5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установлении ставок налогов и стоимости разовых талонов по Бурлинскому району на 2012 год" от 27 декабря 2011 года № 33-4 (зарегистрировано в Реестре государственной регистрации нормативных правовых актов за № 7-3-123, опубликовано 1 февраля 2012 года в газете "Бөрлі жаршысы-Бурлинские вести"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Пак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Куликешев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3-5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2011 года № 33-4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осуществляющие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</w:t>
      </w:r>
      <w:r>
        <w:br/>
      </w:r>
      <w:r>
        <w:rPr>
          <w:rFonts w:ascii="Times New Roman"/>
          <w:b/>
          <w:i w:val="false"/>
          <w:color w:val="000000"/>
        </w:rPr>
        <w:t>
оказанию услуг на рынках,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6993"/>
        <w:gridCol w:w="2091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торговли (в тенге)</w:t>
            </w:r>
          </w:p>
        </w:tc>
      </w:tr>
      <w:tr>
        <w:trPr>
          <w:trHeight w:val="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вещевой рынок "Бестау"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Торговля с одного торгового места, площадью 2 квадратных метров: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одеждой, обувью, тканями и другими материалами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игрушками, посудой, шторами, парфюмерией, тюлями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меховыми, кожаными изделиями, бытовыми машинами и приборами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оптово- розничный рынок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места, площадью 2 квадратных метра: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одеждой, обувью, тканями и другими материалами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игрушками, посудой, шторами, парфюмерией, тюлями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хозяйственными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коврами и ковровыми изделиями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хозяйственными, строительными товарами, товарами бытовой химии, канцелярскими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меховыми, кожаными изделиями, ювелирными изделиями из драгоценных металлов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Торговля с одного торгового места, площадью 2 квадратных метра: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продовольственными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рыбопродуктами, колбасными изделиями мясопродуктами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одного торгового места, площадью 2 кв. м: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торговля мясом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Торговля с контейнеров продовольственными и другими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Торговля с палаток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Торговля с необорудованных мест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