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4cb1" w14:textId="a184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Уральска от 15 декабря 2011 года № 3170 "Об организации социальных рабочих мест для целевых групп населения на 2012 год по городу Уральску"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31 мая 2012 года № 1238. Зарегистрировано Департаментом юстиции Западно-Казахстанской области 21 июня 2012 года № 7-1-236. Утратило силу постановлением акимата города Уральска Западно-Казахстанской области от 13 декабря 2012 года № 3193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города Уральска Западно-Казахстанской области от 13.12.2012 № 3193.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"О мерах по реализации Закона Республики Казахстан от 23 января 2001 года "О занятости населения",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"Об организации социальных рабочих мест для целевых групп населения на 2012 год по городу Уральску" от 15 декабря 2011 года № 3170 (зарегистрированное в Реестре государственной регистрации нормативных правовых актов за № 7-1-226, опубликованное 26 января 2012 года в газете "Жайық үні" № 4 и 21 января 2012 года в газете "Приуралье" № 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города Дремасова В. 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 Б. Шакимов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