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543" w14:textId="cca1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15 декабря 2011 года № 3166 "Об организации и финансировании молодежной практики по городу Уральску"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31 мая 2012 года № 1237. Зарегистрировано Департаментом юстиции Западно-Казахстанской области 21 июня 2012 года № 7-1-235. Утратило силу постановлением акимата города Уральска Западно-Казахстанской области от 31 января 2014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Уральска Западно-Казахстанской области от 31.01.2014 № 162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и финансировании молодежной практики по городу Уральску" от 15 декабря 2011 года № 3166 (зарегистрированное в Реестре государственной регистрации нормативных правовых актов за № 7-1-224, опубликованное 19 января 2012 года в газете "Жайық үні" № 3 и 20 января 2011 года в газете "Пульс города"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Дремасова В. 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