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f81" w14:textId="7532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декабря 2012 года № 259. Зарегистрировано Департаментом юстиции Западно-Казахстанской области 16 января 2013 года № 3151.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информатизации"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архивов и документации Западно-Казахстанской области" (далее - Управление) обеспечить размещение настоящего регламента электронной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Сулеймена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259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архивных справок" предоставляется непосредственно местными исполнительными органами Западно-Казахстанской области - государственным архивом Западно-Казахстанской области их филиалами и государственными районными архивами (далее - услугодатель), на альтернативной основе через центр обслуживания населения (далее – ЦОН) по месту жительства, а также через веб-портал "электронного правительства": www.e-gov.kz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архивных справок",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и об утверждении стандартов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архивных справок"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(далее - МИО) – государственный архив Западно-Казахстанской области их филиалы и государственные районные архивы,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местных исполнительных органов (далее - ИС МИО) - информационная система "Региональный шлюз, как подсистема шлюза "электронного правительства"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Национальный удостоверяющий центр Республики Казахстан (далее - НУЦ)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 (обслуживающее участников "электронного правительства", государственных и негосударственных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(далее -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"электронного правительства" (далее – РШЭП)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база данных "Физические лица"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база данных "Юридические лица"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ЕНИС – Единая нотариальная информационная система.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</w:t>
      </w:r>
      <w:r>
        <w:br/>
      </w:r>
      <w:r>
        <w:rPr>
          <w:rFonts w:ascii="Times New Roman"/>
          <w:b/>
          <w:i w:val="false"/>
          <w:color w:val="000000"/>
        </w:rPr>
        <w:t>
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о готовности архивной 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(архивной справки)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№ 3)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(введҰнных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8(7112) 50-90-27, по телефону саll–центра Портала: (1414).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Перечень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с указанием срока выполнения каждого действия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 приложении 2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приложениях 3-5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 приложением 6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наличие компьютера, выход в Интернет, авторизация ПЭП, наличие ЭЦП пользователя.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497"/>
        <w:gridCol w:w="1927"/>
        <w:gridCol w:w="2056"/>
        <w:gridCol w:w="2035"/>
        <w:gridCol w:w="199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на ПЭП по ИИН и пароля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ЭЦП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ЭЦП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3 –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5 – если нарушений нет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539"/>
        <w:gridCol w:w="1954"/>
        <w:gridCol w:w="2100"/>
        <w:gridCol w:w="2079"/>
        <w:gridCol w:w="201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АРМ РШЭП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документа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(уведом-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 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архивной справки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8 – если нарушений нет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539"/>
        <w:gridCol w:w="1954"/>
        <w:gridCol w:w="2100"/>
        <w:gridCol w:w="2079"/>
        <w:gridCol w:w="201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АРМ РШЭП через ИИН и пароля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 услуги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о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ФЛ/ГБД ЮЛ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сутствии данных ГБД ФЛ/ГБД ЮЛ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системе 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воением номера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рушения; 5 – если нарушений нет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539"/>
        <w:gridCol w:w="1954"/>
        <w:gridCol w:w="2100"/>
        <w:gridCol w:w="2079"/>
        <w:gridCol w:w="201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запроса с 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плением сканиро-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верением ЭЦП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документа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рушениями в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(архивной справки)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рушения; 8 – если нарушений нет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539"/>
        <w:gridCol w:w="1954"/>
        <w:gridCol w:w="2100"/>
        <w:gridCol w:w="2079"/>
        <w:gridCol w:w="201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ЮЛ, ЕНИС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оператор Центра по логину и паролю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ГБД ФЛ/ ГБД ЮЛ, ЕНИС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системе 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воением номера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5 – если нарушений нет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996"/>
        <w:gridCol w:w="2009"/>
        <w:gridCol w:w="2159"/>
        <w:gridCol w:w="2439"/>
        <w:gridCol w:w="2096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документа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санного) ЭЦП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документа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(архивной справки)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рушения; 9 – если нарушений нет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через ПЭП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9793"/>
      </w:tblGrid>
      <w:tr>
        <w:trPr>
          <w:trHeight w:val="6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 управления </w:t>
            </w:r>
          </w:p>
        </w:tc>
      </w:tr>
      <w:tr>
        <w:trPr>
          <w:trHeight w:val="5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 сообщений </w:t>
            </w:r>
          </w:p>
        </w:tc>
      </w:tr>
      <w:tr>
        <w:trPr>
          <w:trHeight w:val="46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488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при обращении об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при обращении об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3193"/>
      </w:tblGrid>
      <w:tr>
        <w:trPr>
          <w:trHeight w:val="30" w:hRule="atLeast"/>
        </w:trPr>
        <w:tc>
          <w:tcPr>
            <w:tcW w:w="8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системой электронного правительства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адрес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Доводим до вашего сведения, что в__________________________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учреждения,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выдавшего отказ в предоставлении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(Краткое изложение сути запрошенных потребителем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сведений, по которым выдается отказ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(выбор одного из двух вариантов: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 по запрашиваемой организации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государственное хранение не поступали"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"в документах организации запрашиваемые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обнаружены ввиду неполного состава документов")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       (Ф.И.О.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руководителя госучреждения)         госучреждения)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должности исполнителя) (Ф.И.О. исполнителя)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</w:t>
      </w:r>
      <w:r>
        <w:br/>
      </w:r>
      <w:r>
        <w:rPr>
          <w:rFonts w:ascii="Times New Roman"/>
          <w:b/>
          <w:i w:val="false"/>
          <w:color w:val="000000"/>
        </w:rPr>
        <w:t>
показателей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