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e763" w14:textId="254e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декабря 2012 года N 8/2-V. Зарегистрировано Департаментом юстиции Восточно-Казахстанской области 09 января 2013 года N 2806. Прекращено действие по истечении срока, на который решение было принято (письмо Шемонаихинского районного маслихата от 27 декабря 2013 года № 253)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Шемонаихинского районного маслихата от 27.12.2013 № 253).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 Шемонаихинский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3 203 238,8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1 113 263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41 719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2 036 260,8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3 309 745,6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-110 493,8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110 493,8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106 506,8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Шемонаихинского районного маслихата от 11.12.2013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индивидуального подоходного налога с доходов, не облагаемых у источника выплаты в размере 100 процентов,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07 декабря 2012 года № 8/99-V «Об областном бюджете на 2013-2015 годы» (зарегистрировано в Реестре государственной регистрации нормативных правовых актов за № 2781).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Шемонаихинскому районному управлению казначейства с 1 января 2013 года производить зачисление сумм доходов в бюджеты по установленным нормативам.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2013 год объем субвенции, переданной из областного бюджета в бюджет района в сумме 787 352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установить гражданским служащим образования, социального обеспечения, культуры, спорта и ветеринарии, работающим в аульной (сельской)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с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социального обеспечения, образования, культуры, спорта и ветеринарии, работающих в аульной (сельской)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социальную помощь на приобретение топлива специалистам образования, социального обеспечения, культуры и спорта, проживающим и работающим в сельских населенных пунктах, в размере 9240 тенге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Специалистам здравоохранения и ветеринарии социальная помощь выплачивается в размере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14 ноября 2012 года № 6/93-V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октября 2009 года № 15/209-IV «О размере социальной помощи некоторым категориям граждан» (зарегистрировано в Реестре государственной регистрации нормативных правовых актов за № 2730).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на 2013 год в сумме 15 541 тысяч 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00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районных бюджетных программ, не подлежащих секвестру в процессе исполнения районного бюджета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2013 год возврат трансфертов в областной бюджет в связи с упразднением ревизионных комиссий районных (городских) маслихатов и созданием государственного учреждения «Ревизионная комиссия области» в сумме 2 162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2013 год целевые текущие трансферты из областного бюджета на социальную помощь отдельным категориям нуждающихся граждан в сумме 19 550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00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2013 год целевые текущие трансферты из областного бюджета в сумме 16 253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3 250 тысяч тенге - на обеспечение повышения компьютерной грамотности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3 033 тысяч тенге - на оснащение типовых залов общеобразовательных школ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9 000 тысяч тенге - на проведение мероприятий по благоустройству;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970 тысяч тенге – на приобретение учебно-методического комплекса для общеобразовательных школ.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решениями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2013 год за счет средств областного бюджета трансферты на компенсацию потерь бюджету Шемонаихинского района в сумме 431 211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районном бюджете на 2013 год целевые трансферты на развитие из областного бюджета в сумме 450 715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10 000 тысяч тенге - на строительство детского сада на 280 мест в городе Шемонаиха (софинансирование);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90 000 тысяч тенге – на строительство основной средней школы на 80 мест в селе Пруггерово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50 000 тысяч тенге – на строительство основной средней школы на 120 мест в селе Медведка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189 553 тысяч тенге – на строительство средней школы на 180 мест в селе Октябрьское Шемонаихинского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55 499 тысяч тенге – на строительство 30-квартирного коммунального жилого дома по улице Жукова в городе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55 240 тысяч тенге – на строительство насосной станции второго подъема и резервуаров чистой воды поселка Железнодорожник в городе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423 тысяч тенге – на инженерные сети и благоустройство для 30-ти квартирного жилого дома по улице Жукова в городе Шемонаиха.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Предусмотреть в районном бюджете на 2013 год целевые текущие трансферты из республиканского бюджета в сумме 167 970,8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20 285 тысяч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7 588 тысяч тенге - для реализации мер социальной поддержки специалистов, в том числе 5 193 тысяч тенге - бюджетные кредиты; 2 395 тысяч тенге - выплата подъемного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3 468 тысяч тенге на предоставление специальных социальных услуг, в том числе: 1 360 тысяч тенге – на введение стандартов специальных социальных услуг; 2 108 тысяч тенге на развитие сети отделений дневного пребывания в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9 988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47 961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22 960 тысяч тенге - на ежемесячную выплату денежных средств опекунам (попечителям) на содержание ребенка-сироты (детей - сирот)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22 859 тысяч тенге - на увеличение размера доплаты за квалификационную категорию учителям школ и воспитателям дошкольных организаций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8 194 тысяч тенге – на оснащение учебным оборудованием кабинетов физики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14 442,8 тысяч тенге –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12) 10 225 тысяч -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№ 14/6-V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21.08.2013 </w:t>
      </w:r>
      <w:r>
        <w:rPr>
          <w:rFonts w:ascii="Times New Roman"/>
          <w:b w:val="false"/>
          <w:i w:val="false"/>
          <w:color w:val="000000"/>
          <w:sz w:val="28"/>
        </w:rPr>
        <w:t>№ 15/2-V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11.12.2013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районном бюджете на 2013 год целевые трансферты на развитие из республиканского бюджета в сумме 218 825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100 000 тысяч тенге – строительство детского сада на 280 мест в городе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12 735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55 667 тысяч тенге – на строительство 30–квартирного коммунального жилого дома по улице Жукова города Шемонаиха;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решениями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№ 14/6-V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расходах районного бюджета предусмотреть затраты по программам: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района в городе, города районного значения, поселка, села, сельского округа в сумме 137 077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организацию бесплатного подвоза учащихся до школы и обратно в аульной (сельской) местности в сумме 762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освещение улиц населенных пунктов в сумме 24 722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обеспечение санитарии населенных пунктов в сумме 12 646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содержание мест захоронений и погребение безродных в сумме 513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благоустройство и озеленение населенных пунктов в сумме 44 028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обеспечение функционирования автомобильных дорог в городах районного значения, поселках, аулах (селах), аульных (сельских) округах в сумме 50 524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 «Развитие регионов»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14 442,8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капитальные расходы государственных органов в сумме 3 602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ремонт и благоустройство объектов в рамках развития городов и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3 550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Шемонаихинского районного маслихата от 26.02.2013 </w:t>
      </w:r>
      <w:r>
        <w:rPr>
          <w:rFonts w:ascii="Times New Roman"/>
          <w:b w:val="false"/>
          <w:i w:val="false"/>
          <w:color w:val="00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29.04.2013 </w:t>
      </w:r>
      <w:r>
        <w:rPr>
          <w:rFonts w:ascii="Times New Roman"/>
          <w:b w:val="false"/>
          <w:i w:val="false"/>
          <w:color w:val="000000"/>
          <w:sz w:val="28"/>
        </w:rPr>
        <w:t>№ 11/2-V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16.07.2013 </w:t>
      </w:r>
      <w:r>
        <w:rPr>
          <w:rFonts w:ascii="Times New Roman"/>
          <w:b w:val="false"/>
          <w:i w:val="false"/>
          <w:color w:val="000000"/>
          <w:sz w:val="28"/>
        </w:rPr>
        <w:t>№ 14/6-V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05.11.2013 </w:t>
      </w:r>
      <w:r>
        <w:rPr>
          <w:rFonts w:ascii="Times New Roman"/>
          <w:b w:val="false"/>
          <w:i w:val="false"/>
          <w:color w:val="00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01.01.2013); от 11.12.2013 </w:t>
      </w:r>
      <w:r>
        <w:rPr>
          <w:rFonts w:ascii="Times New Roman"/>
          <w:b w:val="false"/>
          <w:i w:val="false"/>
          <w:color w:val="00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Яровикова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Баяндинов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Шемонаихинского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586"/>
        <w:gridCol w:w="459"/>
        <w:gridCol w:w="9248"/>
        <w:gridCol w:w="19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3203238,8</w:t>
            </w:r>
          </w:p>
        </w:tc>
      </w:tr>
      <w:tr>
        <w:trPr>
          <w:trHeight w:val="15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1113263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28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473527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10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137100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95436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43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41719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</w:t>
            </w:r>
          </w:p>
        </w:tc>
      </w:tr>
      <w:tr>
        <w:trPr>
          <w:trHeight w:val="37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  <w:tr>
        <w:trPr>
          <w:trHeight w:val="195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2036260,8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23"/>
        <w:gridCol w:w="810"/>
        <w:gridCol w:w="918"/>
        <w:gridCol w:w="7742"/>
        <w:gridCol w:w="22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3309745,6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274118,8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240428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12645</w:t>
            </w:r>
          </w:p>
        </w:tc>
      </w:tr>
      <w:tr>
        <w:trPr>
          <w:trHeight w:val="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78851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19831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13748,8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8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4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2199262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101917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47961</w:t>
            </w:r>
          </w:p>
        </w:tc>
      </w:tr>
      <w:tr>
        <w:trPr>
          <w:trHeight w:val="6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1538564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5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1537802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1458233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558781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47403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повышения компьютерной грамотности населения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6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454572</w:t>
            </w:r>
          </w:p>
        </w:tc>
      </w:tr>
      <w:tr>
        <w:trPr>
          <w:trHeight w:val="48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5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115875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4107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31661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4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268029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130880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8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124374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111166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81909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178209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50873</w:t>
            </w:r>
          </w:p>
        </w:tc>
      </w:tr>
      <w:tr>
        <w:trPr>
          <w:trHeight w:val="3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</w:t>
            </w:r>
          </w:p>
        </w:tc>
      </w:tr>
      <w:tr>
        <w:trPr>
          <w:trHeight w:val="49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37731</w:t>
            </w:r>
          </w:p>
        </w:tc>
      </w:tr>
      <w:tr>
        <w:trPr>
          <w:trHeight w:val="1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</w:t>
            </w:r>
          </w:p>
        </w:tc>
      </w:tr>
      <w:tr>
        <w:trPr>
          <w:trHeight w:val="40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62082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28304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20667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9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</w:p>
        </w:tc>
      </w:tr>
      <w:tr>
        <w:trPr>
          <w:trHeight w:val="6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</w:t>
            </w:r>
          </w:p>
        </w:tc>
      </w:tr>
      <w:tr>
        <w:trPr>
          <w:trHeight w:val="43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</w:tr>
      <w:tr>
        <w:trPr>
          <w:trHeight w:val="5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60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11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49256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6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1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20285</w:t>
            </w:r>
          </w:p>
        </w:tc>
      </w:tr>
      <w:tr>
        <w:trPr>
          <w:trHeight w:val="5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2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</w:t>
            </w:r>
          </w:p>
        </w:tc>
      </w:tr>
      <w:tr>
        <w:trPr>
          <w:trHeight w:val="1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  <w:tr>
        <w:trPr>
          <w:trHeight w:val="34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58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54677,8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45590,8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-110493,8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110493,8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31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106506,8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26"/>
        <w:gridCol w:w="753"/>
        <w:gridCol w:w="9203"/>
        <w:gridCol w:w="1660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2414988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1153187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494626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319782</w:t>
            </w:r>
          </w:p>
        </w:tc>
      </w:tr>
      <w:tr>
        <w:trPr>
          <w:trHeight w:val="1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319782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66145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</w:t>
            </w:r>
          </w:p>
        </w:tc>
      </w:tr>
      <w:tr>
        <w:trPr>
          <w:trHeight w:val="3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1244007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1244007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27"/>
        <w:gridCol w:w="719"/>
        <w:gridCol w:w="805"/>
        <w:gridCol w:w="8396"/>
        <w:gridCol w:w="1704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2414988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237192</w:t>
            </w:r>
          </w:p>
        </w:tc>
      </w:tr>
      <w:tr>
        <w:trPr>
          <w:trHeight w:val="7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203996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19124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4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1717208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50218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1501031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1499767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1419015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131320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152981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128252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128252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42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30478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10415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28879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40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39046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14438</w:t>
            </w:r>
          </w:p>
        </w:tc>
      </w:tr>
      <w:tr>
        <w:trPr>
          <w:trHeight w:val="4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15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84"/>
        <w:gridCol w:w="690"/>
        <w:gridCol w:w="9091"/>
        <w:gridCol w:w="1749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2419621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1187921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514411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332574</w:t>
            </w:r>
          </w:p>
        </w:tc>
      </w:tr>
      <w:tr>
        <w:trPr>
          <w:trHeight w:val="1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332574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267045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148920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6344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3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1213541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1213541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548"/>
        <w:gridCol w:w="762"/>
        <w:gridCol w:w="826"/>
        <w:gridCol w:w="8225"/>
        <w:gridCol w:w="1832"/>
      </w:tblGrid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2419621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249460</w:t>
            </w:r>
          </w:p>
        </w:tc>
      </w:tr>
      <w:tr>
        <w:trPr>
          <w:trHeight w:val="7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214929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1696669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52218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52218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1501119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5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1499767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1419015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110129</w:t>
            </w:r>
          </w:p>
        </w:tc>
      </w:tr>
      <w:tr>
        <w:trPr>
          <w:trHeight w:val="48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128252</w:t>
            </w:r>
          </w:p>
        </w:tc>
      </w:tr>
      <w:tr>
        <w:trPr>
          <w:trHeight w:val="51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28953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24729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 выплате и доставке пособий и других социальных выплат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32611</w:t>
            </w:r>
          </w:p>
        </w:tc>
      </w:tr>
      <w:tr>
        <w:trPr>
          <w:trHeight w:val="2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</w:t>
            </w:r>
          </w:p>
        </w:tc>
      </w:tr>
      <w:tr>
        <w:trPr>
          <w:trHeight w:val="4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29489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</w:t>
            </w:r>
          </w:p>
        </w:tc>
      </w:tr>
      <w:tr>
        <w:trPr>
          <w:trHeight w:val="4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40193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</w:t>
            </w:r>
          </w:p>
        </w:tc>
      </w:tr>
      <w:tr>
        <w:trPr>
          <w:trHeight w:val="43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4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6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</w:p>
        </w:tc>
      </w:tr>
      <w:tr>
        <w:trPr>
          <w:trHeight w:val="11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22304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13241</w:t>
            </w:r>
          </w:p>
        </w:tc>
      </w:tr>
      <w:tr>
        <w:trPr>
          <w:trHeight w:val="82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12770</w:t>
            </w:r>
          </w:p>
        </w:tc>
      </w:tr>
      <w:tr>
        <w:trPr>
          <w:trHeight w:val="3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</w:t>
            </w:r>
          </w:p>
        </w:tc>
      </w:tr>
      <w:tr>
        <w:trPr>
          <w:trHeight w:val="5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2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15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65333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</w:t>
            </w:r>
          </w:p>
        </w:tc>
      </w:tr>
      <w:tr>
        <w:trPr>
          <w:trHeight w:val="58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36771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25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 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18889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16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27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20"/>
      </w:tblGrid>
      <w:tr>
        <w:trPr>
          <w:trHeight w:val="33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10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1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</w:t>
      </w:r>
      <w:r>
        <w:br/>
      </w:r>
      <w:r>
        <w:rPr>
          <w:rFonts w:ascii="Times New Roman"/>
          <w:b/>
          <w:i w:val="false"/>
          <w:color w:val="000000"/>
        </w:rPr>
        <w:t>
акима района в городе, города районного значения,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6"/>
        <w:gridCol w:w="2488"/>
      </w:tblGrid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137077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организацию бесплатного подвоза учащихся</w:t>
      </w:r>
      <w:r>
        <w:br/>
      </w:r>
      <w:r>
        <w:rPr>
          <w:rFonts w:ascii="Times New Roman"/>
          <w:b/>
          <w:i w:val="false"/>
          <w:color w:val="000000"/>
        </w:rPr>
        <w:t>
до школы и обратно в аульной (сельской)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53"/>
        <w:gridCol w:w="2483"/>
      </w:tblGrid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освещение улиц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8"/>
        <w:gridCol w:w="2486"/>
      </w:tblGrid>
      <w:tr>
        <w:trPr>
          <w:trHeight w:val="5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 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25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24722</w:t>
            </w:r>
          </w:p>
        </w:tc>
      </w:tr>
    </w:tbl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санитарии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464"/>
        <w:gridCol w:w="2468"/>
      </w:tblGrid>
      <w:tr>
        <w:trPr>
          <w:trHeight w:val="75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12646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содержание мест захоронений</w:t>
      </w:r>
      <w:r>
        <w:br/>
      </w:r>
      <w:r>
        <w:rPr>
          <w:rFonts w:ascii="Times New Roman"/>
          <w:b/>
          <w:i w:val="false"/>
          <w:color w:val="000000"/>
        </w:rPr>
        <w:t>
и погребение безродных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 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464"/>
        <w:gridCol w:w="2468"/>
      </w:tblGrid>
      <w:tr>
        <w:trPr>
          <w:trHeight w:val="5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123 010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благоустройство и озеленение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59"/>
        <w:gridCol w:w="2968"/>
      </w:tblGrid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35028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Вавилонского сельского округа»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44028</w:t>
            </w:r>
          </w:p>
        </w:tc>
      </w:tr>
    </w:tbl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обеспечение функционирования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дорог в городах районного значения, поселках,</w:t>
      </w:r>
      <w:r>
        <w:br/>
      </w:r>
      <w:r>
        <w:rPr>
          <w:rFonts w:ascii="Times New Roman"/>
          <w:b/>
          <w:i w:val="false"/>
          <w:color w:val="000000"/>
        </w:rPr>
        <w:t>
аулах (селах), аульных (сельских)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639"/>
        <w:gridCol w:w="2365"/>
      </w:tblGrid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50524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реализацию мер по содействию</w:t>
      </w:r>
      <w:r>
        <w:br/>
      </w:r>
      <w:r>
        <w:rPr>
          <w:rFonts w:ascii="Times New Roman"/>
          <w:b/>
          <w:i w:val="false"/>
          <w:color w:val="000000"/>
        </w:rPr>
        <w:t>
экономическому развитию регионов в рамках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Программы «Развитие регионов»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Шемонаихинского районного маслихата от 11.12.2013 </w:t>
      </w:r>
      <w:r>
        <w:rPr>
          <w:rFonts w:ascii="Times New Roman"/>
          <w:b w:val="false"/>
          <w:i w:val="false"/>
          <w:color w:val="ff0000"/>
          <w:sz w:val="28"/>
        </w:rPr>
        <w:t>№ 17/2-V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031"/>
        <w:gridCol w:w="2952"/>
      </w:tblGrid>
      <w:tr>
        <w:trPr>
          <w:trHeight w:val="84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1498,9</w:t>
            </w:r>
          </w:p>
        </w:tc>
      </w:tr>
      <w:tr>
        <w:trPr>
          <w:trHeight w:val="30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1248,9</w:t>
            </w:r>
          </w:p>
        </w:tc>
      </w:tr>
      <w:tr>
        <w:trPr>
          <w:trHeight w:val="255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14442,8</w:t>
            </w:r>
          </w:p>
        </w:tc>
      </w:tr>
    </w:tbl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развитие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в рамках Программы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исключено решением Шемонаихинского районного маслихата от 26.02.2013 </w:t>
      </w:r>
      <w:r>
        <w:rPr>
          <w:rFonts w:ascii="Times New Roman"/>
          <w:b w:val="false"/>
          <w:i w:val="false"/>
          <w:color w:val="ff0000"/>
          <w:sz w:val="28"/>
        </w:rPr>
        <w:t>№ 9/2-V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> с 01.01.2013).</w:t>
      </w:r>
    </w:p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9449"/>
        <w:gridCol w:w="2485"/>
      </w:tblGrid>
      <w:tr>
        <w:trPr>
          <w:trHeight w:val="64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тенге) </w:t>
            </w:r>
          </w:p>
        </w:tc>
      </w:tr>
      <w:tr>
        <w:trPr>
          <w:trHeight w:val="37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города Шемонаиха"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Первомайский"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п. Усть-Таловка"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225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Волчанского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Вавилонского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Октябрьского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Зевакинского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Разинского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</w:tbl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Шемонаихинского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8/2-V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ремонт и благоустройство объектов</w:t>
      </w:r>
      <w:r>
        <w:br/>
      </w:r>
      <w:r>
        <w:rPr>
          <w:rFonts w:ascii="Times New Roman"/>
          <w:b/>
          <w:i w:val="false"/>
          <w:color w:val="000000"/>
        </w:rPr>
        <w:t>
в рамках развития городов и сельских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
по </w:t>
      </w:r>
      <w:r>
        <w:rPr>
          <w:rFonts w:ascii="Times New Roman"/>
          <w:b/>
          <w:i w:val="false"/>
          <w:color w:val="000000"/>
        </w:rPr>
        <w:t>Дорожной карте занятости 2020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Шемонаихинского районного маслихата от 05.11.2013 </w:t>
      </w:r>
      <w:r>
        <w:rPr>
          <w:rFonts w:ascii="Times New Roman"/>
          <w:b w:val="false"/>
          <w:i w:val="false"/>
          <w:color w:val="ff0000"/>
          <w:sz w:val="28"/>
        </w:rPr>
        <w:t>№ 16/2-V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 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9451"/>
        <w:gridCol w:w="2485"/>
      </w:tblGrid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123 027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Верх-Убинского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Выдрихинского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Каменевского сельского округа"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