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fe14" w14:textId="65af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категорий физических лиц и перечня документов, необходимых для получения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14 июля 2012 года N 5/4-V. Зарегистрировано Департаментом юстиции Восточно-Казахстанской области 06 августа 2012 года за N 2630. Утратило силу - решением маслихата Зыряновского района от 30 апреля 2013 года N 17/5-V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Зыряновского района от 30.04.2013 N 17/5-V.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физических лиц, имеющих право на получение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другие категории лиц,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инвалиды, в том числе лица, воспитывающие ребенка-инвалида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жертвы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дети-сироты и дети, оставшиеся без попечения родителей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выпускники детских домов, школ-интернатов для детей сирот и детей, оставшихся без попечения родителей, а также студенты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семьи (граждане);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 значимые заболевания (туберкулез, злокачественные новообразования);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граждане, попавшие в трудную жизненную ситуацию (стихийные бедствия, пожар, несчастные случаи, чрезвычайные ситуации, бездомность (лица без определенного места жительства), освобождение из мест лишения свободы).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(книга регистрации граждан, 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либо документ, подтверждающий наступление трудной (чрезвычайной) жизненной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фактические или предстоящие финансовые затраты на лечение, либо направление органов здравоохранения на лечение по жизненным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больных туберкулезом по спискам противотуберкулезного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Горбачева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