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ad33" w14:textId="ecfa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от 23 июля 2010 года № 26/4 "Об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Усть-Каменогорского городского маслихата Восточно-Казахстанской области от 22 ноября 2012 года N 11/4-V. Зарегистрировано Департаментом юстиции Восточно-Казахстанской области 14 декабря 2012 года N 2778. Утратило силу - решением Усть-Каменогорского городского маслихата Восточно-Казахстанской области от 23 декабря 2014 года N 34/5-V</w:t>
      </w:r>
    </w:p>
    <w:p>
      <w:pPr>
        <w:spacing w:after="0"/>
        <w:ind w:left="0"/>
        <w:jc w:val="both"/>
      </w:pPr>
      <w:bookmarkStart w:name="z1" w:id="0"/>
      <w:r>
        <w:rPr>
          <w:rFonts w:ascii="Times New Roman"/>
          <w:b w:val="false"/>
          <w:i w:val="false"/>
          <w:color w:val="ff0000"/>
          <w:sz w:val="28"/>
        </w:rPr>
        <w:t xml:space="preserve">      Сноска. Утратило силу - </w:t>
      </w:r>
      <w:r>
        <w:rPr>
          <w:rFonts w:ascii="Times New Roman"/>
          <w:b w:val="false"/>
          <w:i w:val="false"/>
          <w:color w:val="000000"/>
          <w:sz w:val="28"/>
        </w:rPr>
        <w:t>решением</w:t>
      </w:r>
      <w:r>
        <w:rPr>
          <w:rFonts w:ascii="Times New Roman"/>
          <w:b w:val="false"/>
          <w:i w:val="false"/>
          <w:color w:val="ff0000"/>
          <w:sz w:val="28"/>
        </w:rPr>
        <w:t xml:space="preserve"> Усть-Каменогорского городского маслихата Восточно-Казахстанской области от 23.12.2014 N 34/5-V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октября 2012 года № 1316 "О внесении изменения 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Усть-Каменогорский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определения размера и порядка оказания жилищной помощи" от 23 июля 2010 года № 26/4 (зарегистрировано в Реестре государственной регистрации нормативных правовых актов за номером 5-1-149, опубликовано 16 августа 2010 года в газете "Дидар" № 101, 14 августа 2010 года в газете "Рудный Алтай" № 100) следующие изменения и дополнение:</w:t>
      </w:r>
      <w:r>
        <w:br/>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определения размера и порядка оказания жилищной помощи,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w:t>
      </w:r>
      <w:r>
        <w:rPr>
          <w:rFonts w:ascii="Times New Roman"/>
          <w:b w:val="false"/>
          <w:i w:val="false"/>
          <w:color w:val="000000"/>
          <w:sz w:val="28"/>
        </w:rPr>
        <w:t xml:space="preserve">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Жилищная помощь предоставляется за счет средств местного бюджета </w:t>
      </w:r>
      <w:r>
        <w:rPr>
          <w:rFonts w:ascii="Times New Roman"/>
          <w:b w:val="false"/>
          <w:i w:val="false"/>
          <w:color w:val="000000"/>
          <w:sz w:val="28"/>
        </w:rPr>
        <w:t>малообеспеченным семьям</w:t>
      </w:r>
      <w:r>
        <w:rPr>
          <w:rFonts w:ascii="Times New Roman"/>
          <w:b w:val="false"/>
          <w:i w:val="false"/>
          <w:color w:val="000000"/>
          <w:sz w:val="28"/>
        </w:rPr>
        <w:t xml:space="preserve"> (гражданам), постоянно проживающим в данной местности на оплату:</w:t>
      </w:r>
      <w:r>
        <w:br/>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(квартир)в государственном жилищном фонде;</w:t>
      </w:r>
      <w:r>
        <w:br/>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4)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w:t>
      </w:r>
      <w:r>
        <w:rPr>
          <w:rFonts w:ascii="Times New Roman"/>
          <w:b w:val="false"/>
          <w:i w:val="false"/>
          <w:color w:val="000000"/>
          <w:sz w:val="28"/>
        </w:rPr>
        <w:t xml:space="preserve">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"3. Жилищная помощь оказывается по предъявленным поставщиками </w:t>
      </w:r>
      <w:r>
        <w:br/>
      </w:r>
      <w:r>
        <w:rPr>
          <w:rFonts w:ascii="Times New Roman"/>
          <w:b w:val="false"/>
          <w:i w:val="false"/>
          <w:color w:val="000000"/>
          <w:sz w:val="28"/>
        </w:rPr>
        <w:t>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данной местности.</w:t>
      </w:r>
      <w:r>
        <w:br/>
      </w:r>
      <w:r>
        <w:rPr>
          <w:rFonts w:ascii="Times New Roman"/>
          <w:b w:val="false"/>
          <w:i w:val="false"/>
          <w:color w:val="000000"/>
          <w:sz w:val="28"/>
        </w:rPr>
        <w:t>
      Поставщики коммунальных услуг представляют в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w:t>
      </w:r>
      <w:r>
        <w:rPr>
          <w:rFonts w:ascii="Times New Roman"/>
          <w:b w:val="false"/>
          <w:i w:val="false"/>
          <w:color w:val="000000"/>
          <w:sz w:val="28"/>
        </w:rPr>
        <w:t xml:space="preserve"> 4</w:t>
      </w:r>
      <w:r>
        <w:rPr>
          <w:rFonts w:ascii="Times New Roman"/>
          <w:b w:val="false"/>
          <w:i w:val="false"/>
          <w:color w:val="000000"/>
          <w:sz w:val="28"/>
        </w:rPr>
        <w:t xml:space="preserve"> дополнить подпунктом 9) следующего содержания:</w:t>
      </w:r>
      <w:r>
        <w:br/>
      </w:r>
      <w:r>
        <w:rPr>
          <w:rFonts w:ascii="Times New Roman"/>
          <w:b w:val="false"/>
          <w:i w:val="false"/>
          <w:color w:val="000000"/>
          <w:sz w:val="28"/>
        </w:rPr>
        <w:t>
      "9) квитанцию –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w:t>
      </w:r>
      <w:r>
        <w:rPr>
          <w:rFonts w:ascii="Times New Roman"/>
          <w:b w:val="false"/>
          <w:i w:val="false"/>
          <w:color w:val="000000"/>
          <w:sz w:val="28"/>
        </w:rPr>
        <w:t xml:space="preserve">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Получатели жилищной помощи ежеквартально представляют заявление с приложением документов, перечисленных в подпунктах 4) – 9) </w:t>
      </w:r>
      <w:r>
        <w:rPr>
          <w:rFonts w:ascii="Times New Roman"/>
          <w:b w:val="false"/>
          <w:i w:val="false"/>
          <w:color w:val="000000"/>
          <w:sz w:val="28"/>
        </w:rPr>
        <w:t>пункта 4</w:t>
      </w:r>
      <w:r>
        <w:rPr>
          <w:rFonts w:ascii="Times New Roman"/>
          <w:b w:val="false"/>
          <w:i w:val="false"/>
          <w:color w:val="000000"/>
          <w:sz w:val="28"/>
        </w:rPr>
        <w:t>,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"Семьям,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w:t>
      </w:r>
      <w:r>
        <w:rPr>
          <w:rFonts w:ascii="Times New Roman"/>
          <w:b w:val="false"/>
          <w:i w:val="false"/>
          <w:color w:val="000000"/>
          <w:sz w:val="28"/>
        </w:rPr>
        <w:t xml:space="preserve">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Расходы на содержание жилого дома (жилого здания), электроснабжение, газоснабжение, обслуживание лифтов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r>
        <w:br/>
      </w:r>
      <w:r>
        <w:rPr>
          <w:rFonts w:ascii="Times New Roman"/>
          <w:b w:val="false"/>
          <w:i w:val="false"/>
          <w:color w:val="000000"/>
          <w:sz w:val="28"/>
        </w:rPr>
        <w:t>
      Расходы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учитываются по фактическим затратам за квартал, предшествующий кварталу обращения. Для индивидуального жилого дома с местным отоплением расходы на оплату стоимости счетчика учитываются по фактическим затратам в течение последних 12 месяцев, предшествующих месяцу обращения.";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w:t>
      </w:r>
      <w:r>
        <w:rPr>
          <w:rFonts w:ascii="Times New Roman"/>
          <w:b w:val="false"/>
          <w:i w:val="false"/>
          <w:color w:val="000000"/>
          <w:sz w:val="28"/>
        </w:rPr>
        <w:t xml:space="preserve">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норм и предельно-допустимого уровня расходов семьи(граждан) на эти цели.";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w:t>
      </w:r>
      <w:r>
        <w:rPr>
          <w:rFonts w:ascii="Times New Roman"/>
          <w:b w:val="false"/>
          <w:i w:val="false"/>
          <w:color w:val="000000"/>
          <w:sz w:val="28"/>
        </w:rPr>
        <w:t xml:space="preserve">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Доля предельно допустимых расходов семьи устанавливается к совокупному доходу семьи в размере 9%.";</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потребления электроэнергии в месяц – 90 кВт на каждого проживающего, для одиноко проживающих пенсионеров, инвалидов – 120 кВт, для индивидуальных жилых домов, отапливаемых посредством теплофонов, – 4200 кВт на дом;".</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за исключением абзацев восьмого, тринадцатого, четырнадцатого, двадцать первого пункта 1 настоящего решения и положений абзацев одиннадцатого, двадцать третьего пункта 1 настоящего решения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которые вводятся в действие с 1 июля 2012 года.</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Председатель сессии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Абакумов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Секретарь городского маслихата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Головатюк</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