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4f8b" w14:textId="30f4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21 декабря 2012 года № 12/58-V. Зарегистрировано Департаментом юстиции  Южно-Казахстанской области 9 января 2013 года № 2204. Утратило силу в связи с истечением срока применения - (письмо Толебийского районного маслихата Южно-Казахстанской области от 08 января 2014 года № 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Толебийского районного маслихата Южно-Казахстанской области от 08.01.2014 № 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регистраций нормативных правовых актов за № 2172,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Толебийского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12 883 759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1 099 697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11 718 860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12 892 533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15 560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15 580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1 323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Толебийского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№ 26/117-V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индивидуального подоходного налога и социального налога в размере 50 процентов в областной бюджет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2013 год размер субвенций, передаваемых из областного бюджета в бюджет района в сумме 4 608 502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2013 год в сумме 7 004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сельского округа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социального обеспечения, образования, культуры и спорта,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Мамбеткулов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Шынгысбаев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1 в редакции решения Толебийского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26/117-V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011"/>
        <w:gridCol w:w="2199"/>
      </w:tblGrid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12883759</w:t>
            </w:r>
          </w:p>
        </w:tc>
      </w:tr>
      <w:tr>
        <w:trPr>
          <w:trHeight w:val="2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1099697</w:t>
            </w:r>
          </w:p>
        </w:tc>
      </w:tr>
      <w:tr>
        <w:trPr>
          <w:trHeight w:val="2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375960</w:t>
            </w:r>
          </w:p>
        </w:tc>
      </w:tr>
      <w:tr>
        <w:trPr>
          <w:trHeight w:val="2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319010</w:t>
            </w:r>
          </w:p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360125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8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11718860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11718860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13"/>
        <w:gridCol w:w="651"/>
        <w:gridCol w:w="789"/>
        <w:gridCol w:w="7344"/>
        <w:gridCol w:w="21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12892533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325945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5915568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732251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375206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132750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4088242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4078129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3992696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1095075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198991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190908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10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96488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3943602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694107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675584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3200637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3200637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389955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2790293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48858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79694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75373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54813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124664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45599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-24334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2 в редакции решения Толебийского районного маслихата Южно-Казахстанской области от 20.08.2013 </w:t>
      </w:r>
      <w:r>
        <w:rPr>
          <w:rFonts w:ascii="Times New Roman"/>
          <w:b w:val="false"/>
          <w:i w:val="false"/>
          <w:color w:val="ff0000"/>
          <w:sz w:val="28"/>
        </w:rPr>
        <w:t>№ 20/97-V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990"/>
        <w:gridCol w:w="7809"/>
        <w:gridCol w:w="2456"/>
      </w:tblGrid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10047891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1082856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393505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8895007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07"/>
        <w:gridCol w:w="925"/>
        <w:gridCol w:w="926"/>
        <w:gridCol w:w="6227"/>
        <w:gridCol w:w="245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10047891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5394107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4154390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4143367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4069409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859557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849575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849575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1883526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1834922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1591422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1536422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3 в редакции решения Толебийского районного маслихата Южно-Казахстанской области от 29.05.2013 </w:t>
      </w:r>
      <w:r>
        <w:rPr>
          <w:rFonts w:ascii="Times New Roman"/>
          <w:b w:val="false"/>
          <w:i w:val="false"/>
          <w:color w:val="ff0000"/>
          <w:sz w:val="28"/>
        </w:rPr>
        <w:t>№ 16/83-V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866"/>
        <w:gridCol w:w="7999"/>
        <w:gridCol w:w="2411"/>
      </w:tblGrid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8993777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1129805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327473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356134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7788343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7788343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08"/>
        <w:gridCol w:w="651"/>
        <w:gridCol w:w="691"/>
        <w:gridCol w:w="6847"/>
        <w:gridCol w:w="23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9003777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6283571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4346139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4335116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4261158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1607272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1597290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1597290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3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844409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795805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787305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732305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не подлежащих секвестру 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69"/>
        <w:gridCol w:w="911"/>
        <w:gridCol w:w="1020"/>
        <w:gridCol w:w="868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программ бюджета сельских округов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5 в редакции решения Толебийского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26/117-V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79"/>
        <w:gridCol w:w="767"/>
        <w:gridCol w:w="830"/>
        <w:gridCol w:w="7052"/>
        <w:gridCol w:w="22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609614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832429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6 в редакции решения Толебийского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26/117-V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751"/>
        <w:gridCol w:w="890"/>
        <w:gridCol w:w="6562"/>
        <w:gridCol w:w="23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1 689 382 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2 802 782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12 489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389 955 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2790293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1 581 797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