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40b8" w14:textId="96b4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20 декабря 2012 года № 12/86-V. Зарегистрировано Департаментом юстиции  Южно-Казахстанской области 9 января 2013 года № 2203. Утратило силу в связи с истечением срока применения - (письмо Казыгуртского районного маслихата Южно-Казахстанской области от 18 апреля 2014 года № 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18.04.2014 № 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2172,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Казыгуртского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9 961 457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965 479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5 581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17 862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- 8 972 535 тысяч тенге;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9 970 216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8 187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в редакции решения Казыгуртского районного маслихата Южно-Казахстанской области от 13.12.2013 </w:t>
      </w:r>
      <w:r>
        <w:rPr>
          <w:rFonts w:ascii="Times New Roman"/>
          <w:b w:val="false"/>
          <w:i w:val="false"/>
          <w:color w:val="000000"/>
          <w:sz w:val="28"/>
        </w:rPr>
        <w:t>№ 25/166-V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 распределения общей суммы поступлений индивидуального подоходного налога и социального налога в областной бюджет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на 2013 год в сумме – 7 613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3 в редакции решения Казыгуртского районного маслихата Южно-Казахстанской области от 16.07.2013 </w:t>
      </w:r>
      <w:r>
        <w:rPr>
          <w:rFonts w:ascii="Times New Roman"/>
          <w:b w:val="false"/>
          <w:i w:val="false"/>
          <w:color w:val="000000"/>
          <w:sz w:val="28"/>
        </w:rPr>
        <w:t>№ 18/135-V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районных бюджетных программ на 2013 год, направленных на реализацию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районных бюджетных программ, не подлежащих секвестру в процессе исполнения районных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 по сельским округам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в 2013 году за счет бюджетных средств повышенные на двадцать пять процентов должностные оклады и тарифные ставки гражданским служащим социального обеспечения, образования, культуры и спорта, работающим в аульной (сельской) местности,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Е. Сванов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Момынов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12/86-V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 в редакции решения Казыгуртского районного маслихата Южно-Казахстанской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25/166-V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521"/>
        <w:gridCol w:w="8126"/>
        <w:gridCol w:w="231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9 961 457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965 479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187 824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187 824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500 489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440 324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49 828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17 276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17 862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8 972 535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8 972 535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8 972 535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751"/>
        <w:gridCol w:w="771"/>
        <w:gridCol w:w="7256"/>
        <w:gridCol w:w="219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9 970 216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326 386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302 113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184 431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177 168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23 003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7 285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5 945 746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582 952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4 557 690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4 550 684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4 533 283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805 104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207 386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597 718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597 718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344 085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254 377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2 303 700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2 196 808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2 196 808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2 163 100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212 090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20 777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275 474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121 477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130 440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81 097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326 149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-16 946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12/86-V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2 в редакции решения Казыгуртского районного маслихата Южно-Казахстанской области от 30.01.2013 </w:t>
      </w:r>
      <w:r>
        <w:rPr>
          <w:rFonts w:ascii="Times New Roman"/>
          <w:b w:val="false"/>
          <w:i w:val="false"/>
          <w:color w:val="ff0000"/>
          <w:sz w:val="28"/>
        </w:rPr>
        <w:t>№ 13/97-V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736"/>
        <w:gridCol w:w="8030"/>
        <w:gridCol w:w="232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8 017 751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967 713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209 946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209 946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183 977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183 977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540 761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481 072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11 255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1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7 025 115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7 025 115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749"/>
        <w:gridCol w:w="769"/>
        <w:gridCol w:w="7139"/>
        <w:gridCol w:w="232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8 017 751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273 364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249 386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61 434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166 555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164 468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22 833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5 939 377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165 339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165 339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165 339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4 558 419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4 550 929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4 535 392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1 215 619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1 152 188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1 152 188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338 297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338 297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261 941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217 517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193 781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13 702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909 406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909 406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909 406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909 406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12/86-V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Приложение 3 в редакции решения Казыгуртского районного маслихата Южно-Казахстанской области от 30.01.2013 </w:t>
      </w:r>
      <w:r>
        <w:rPr>
          <w:rFonts w:ascii="Times New Roman"/>
          <w:b w:val="false"/>
          <w:i w:val="false"/>
          <w:color w:val="ff0000"/>
          <w:sz w:val="28"/>
        </w:rPr>
        <w:t>№ 13/97-V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98"/>
        <w:gridCol w:w="740"/>
        <w:gridCol w:w="7828"/>
        <w:gridCol w:w="237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9 447 214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1 022 779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212 386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212 386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190 144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190 144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584 512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519 647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11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8 397 519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8 397 519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736"/>
        <w:gridCol w:w="716"/>
        <w:gridCol w:w="7192"/>
        <w:gridCol w:w="232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9 447 214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272 542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15 427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168 757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166 524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23 462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23 462</w:t>
            </w:r>
          </w:p>
        </w:tc>
      </w:tr>
      <w:tr>
        <w:trPr>
          <w:trHeight w:val="14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23 302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1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7 183 128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177 173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177 173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177 173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4 658 405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4 650 391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4 634 590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2 347 550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13 301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53 317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2 280 379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2 280 379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386 613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360 778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360 778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23 242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19 817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280 276</w:t>
            </w:r>
          </w:p>
        </w:tc>
      </w:tr>
      <w:tr>
        <w:trPr>
          <w:trHeight w:val="14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25 835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1 281 980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1 264 735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1 264 735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1 264 735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197 802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64 732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64 732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59 578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53 896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32 993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14 340</w:t>
            </w:r>
          </w:p>
        </w:tc>
      </w:tr>
      <w:tr>
        <w:trPr>
          <w:trHeight w:val="11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34 099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34 099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16 833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11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11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-8 891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-8 891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12/86-V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на 2013 год, направленных на реализацию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08"/>
        <w:gridCol w:w="690"/>
        <w:gridCol w:w="670"/>
        <w:gridCol w:w="962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12/86-V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районных бюджетов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93"/>
        <w:gridCol w:w="713"/>
        <w:gridCol w:w="100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12/86-V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6 в редакции решения Казыгуртского районного маслихата Южно-Казахстанской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25/166-V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731"/>
        <w:gridCol w:w="731"/>
        <w:gridCol w:w="7239"/>
        <w:gridCol w:w="2081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план на год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