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fa83" w14:textId="fa3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декабря 2012 года № 380. Зарегистрировано Департаментом юстиции Южно-Казахстанской области 29 декабря 2012 года № 2186.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медицинскую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Нажметдинулы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медицинскую деятельность»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«Управление здравоохранения Южно-Казахстанской области» (далее – услугодатель) через веб-портал «электронного правительства» www.e.gov.kz и веб-портал «Е-лицензирование» www.elicense.kz, а также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лицензии, переоформление, выдача дубликатов лицензии на медицинскую деятельность» (далее – электронная государственная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№ 1173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лицензии, переоформление, выдача дубликатов лицензии на медицинскую деятельность»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бизнес–идентификационный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ИС ГБД «Е-лицензирование»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Необходимую информацию и консультацию по оказанию электронной государственной услуги можно получить по телефону саll–центра: (1414).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банковской карточки или текущего счета в банке второго уровня.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медицинскую деятельность»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137"/>
        <w:gridCol w:w="995"/>
        <w:gridCol w:w="995"/>
        <w:gridCol w:w="995"/>
        <w:gridCol w:w="852"/>
        <w:gridCol w:w="1137"/>
        <w:gridCol w:w="1138"/>
        <w:gridCol w:w="1138"/>
        <w:gridCol w:w="1138"/>
        <w:gridCol w:w="1138"/>
        <w:gridCol w:w="995"/>
        <w:gridCol w:w="996"/>
      </w:tblGrid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 и обработка запроса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Таблица 2. Описание действий СФЕ через услугодателя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239"/>
        <w:gridCol w:w="1101"/>
        <w:gridCol w:w="1101"/>
        <w:gridCol w:w="1239"/>
        <w:gridCol w:w="963"/>
        <w:gridCol w:w="1240"/>
        <w:gridCol w:w="1378"/>
        <w:gridCol w:w="1515"/>
        <w:gridCol w:w="1515"/>
        <w:gridCol w:w="1515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ФЛ/ ГБД ЮЛ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получателя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ФЛ/ ГБД ЮЛ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28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получателя; 6–если авторизация прошла успешно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239"/>
        <w:gridCol w:w="1101"/>
        <w:gridCol w:w="1101"/>
        <w:gridCol w:w="1239"/>
        <w:gridCol w:w="963"/>
        <w:gridCol w:w="1240"/>
        <w:gridCol w:w="1378"/>
        <w:gridCol w:w="1515"/>
        <w:gridCol w:w="1515"/>
        <w:gridCol w:w="1515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оператора в ИС ГБД «Е-лицензирование»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28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медицинскую деятельность»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99441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Диаграмма № 2 функционального взаимодействия при оказании электронной государственной услуги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100203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Диаграмма № 3 функционального взаимодействия при оказании электронной государственной услуги через ИС ЦОН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drawing>
          <wp:inline distT="0" distB="0" distL="0" distR="0">
            <wp:extent cx="98933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     Условные обозначения:</w:t>
      </w:r>
    </w:p>
    <w:bookmarkEnd w:id="13"/>
    <w:bookmarkStart w:name="z18" w:id="14"/>
    <w:p>
      <w:pPr>
        <w:spacing w:after="0"/>
        <w:ind w:left="0"/>
        <w:jc w:val="both"/>
      </w:pPr>
      <w:r>
        <w:drawing>
          <wp:inline distT="0" distB="0" distL="0" distR="0">
            <wp:extent cx="74549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медицинскую деятельность»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