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4551" w14:textId="d184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21 августа 2012 года N 222. Зарегистрировано Департаментом юстиции Северо-Казахстанской области 13 сентября 2012 года N 1844. Утратило силу постановлением акимата Тимирязевского района Северо-Казахстанской области от 22 мая 2013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Тимирязевского района Северо-Казахстанской области от 22.05.2013 N 128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«Оформление документов для материального обеспечения детей - инвалидов, обучающихся и воспитывающихся на дому».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А.Жумагалиев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2012 года № 222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«Оформление документов для материального обеспечения детей - инвалидов, обучающихся и воспитывающихся на дому» 1.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оказывается государственным учреждением «Отдел занятости и социальных программ Тимирязевского района Северо-Казахстанской области» (далее - МИО), а также через веб - портал «электронного правительства» по адресу: www.e.gov.kz.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материального обеспечения детей-инвалидов, обучающихся и воспитывающихся на дому», утвержденного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 (электронная государственная услуга, содержащая медиа - 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«Оформление документов для материального обеспечения детей-инвалидов, обучающихся и воспитывающихся на дому»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 - 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(при его наличии, либо его заменяющий РНН и СИК со сроком действия до 31 декабря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 - 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орган (далее - МИО) – государственное учреждение «Отдел занятости и социальных программ Тимирязевского района Северо-Казахстанской области»,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медиа - 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структурно-функциональные единицы - это ответственные лица уполномоченных органов, структурные подразделения государственных органов, государственные органы, участвующие в процессе оказания электронной государственной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уполномоченный орган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«Кызылжарский районный отдел занятости и социальных программ»;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 -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ввода сотрудником МИО ИИН (при его наличии, либо его заменяющий РНН и СИК со сроком действия до 31.12.2012 года);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МИО подлинности данных о зарегистрированном сотруднике МИО через ИИН (при его наличии, либо его заменяющий РНН и СИК со сроком действия до 31 декабря 2012 года)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МИО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 (при его наличии, либо его заменяющий РНН и СИК со сроком действия до 31.12.2012 года), указанным в запросе и ИИН (при его наличии, либо его заменяющий РНН и СИК со сроком действия до 31 декабря.2012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(уведомление об оформлении документов для материального обеспечения детей - 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(при его наличии, либо его заменяющий РНН и СИК со сроком действия до 31 декабря 2012 года)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(при его наличии, либо его заменяющий РНН и СИК со сроком действия до 31 декабря 2012 года)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требований, а также выбор потребителем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его наличии,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об оформлении документов для материального обеспечения детей - 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 - 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 выход в Интернет, наличие ИИН (при его наличии, либо его заменяющий РНН и СИК со сроком действия до 31 декабря 2012 года), авторизация ПЭП, наличие ЭЦП пользователя.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599"/>
        <w:gridCol w:w="2858"/>
        <w:gridCol w:w="3073"/>
        <w:gridCol w:w="3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МИО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МИО в системе и заполнение формы запроса на оказания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запросов в ИС ЦГО для получения данных о потребителе.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552"/>
        <w:gridCol w:w="2917"/>
        <w:gridCol w:w="3047"/>
        <w:gridCol w:w="3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об оформлении документов для материального обеспечения детей-инвали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обучающихся и воспитывающихся на дому,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 об оформлении документов для материального обеспечения детей-инвали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обучающихся и воспитывающихся на дому,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10 рабочих дней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557"/>
        <w:gridCol w:w="2901"/>
        <w:gridCol w:w="3031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 доставка сотрудником МИО нарочно или посредством отправки на электронную почту потребителя результата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документ.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 в случае отправки на электронную почту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ПЭП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5070"/>
        <w:gridCol w:w="65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для получения электронной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порядительное решение)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государственной услуге.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4"/>
        <w:gridCol w:w="4043"/>
        <w:gridCol w:w="4003"/>
      </w:tblGrid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в ИС МИО (в случае корректности введенных данных).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(в случае корректности введенных данных).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корректности введенных данных).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5155"/>
        <w:gridCol w:w="63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об оформлении документов для материального обеспечения детей-инвалидов, обучающихся и воспитывающихся на дому,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уведомления,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дней.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3769"/>
        <w:gridCol w:w="4478"/>
      </w:tblGrid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«в работе» на ПЭП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5042"/>
        <w:gridCol w:w="6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6"/>
        <w:gridCol w:w="3679"/>
        <w:gridCol w:w="4185"/>
      </w:tblGrid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на ПЭП.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с выводом выходного документа на ПЭП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документа.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документа.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90932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1. 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059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059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2. Диаграмма функционального взаимодействия при оказании «частично автоматизированной» электронной государственной услуги через ПЭП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931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 заявлению прилагаются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Электронная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Электронная копия книги регистрации граждан, либо справки адресного бюро, либо справки Акима сельского округа (сведения о прописке);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Электронная копия заключения психолого-педагогической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Электронная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Электронная копия документа о наличии счета в банке.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3754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(документов для материального обеспечения детей-инвалидов, обучающихся и воспитывающихся на дому)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</w:t>
      </w:r>
      <w:r>
        <w:br/>
      </w:r>
      <w:r>
        <w:rPr>
          <w:rFonts w:ascii="Times New Roman"/>
          <w:b/>
          <w:i w:val="false"/>
          <w:color w:val="000000"/>
        </w:rPr>
        <w:t>
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