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f5ea" w14:textId="a89f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Магжана Жумабаева Северо-Казахстанской области от 12 декабря 2012 года N 563. Зарегистрировано Департаментом юстиции Северо-Казахстанской области 23 января 2013 года N 2102. Утратило силу постановлением акимата района Магжана Жумабаева Северо-Казахстанской области от 24 мая 2013 года N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 Утратило силу постановлением акимата района Магжана Жумабаева Северо-Казахстанской области от 24.05.2013 N 184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Магжана Жумабаева Северо-Казахстанской области Кабдушева А.Д.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 В. Бубенко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А. Жумагалиев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 
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района имени Магжана Жумабаева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декабря 2012 года N 563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электронная государственная услуга) оказывается государственным учреждением «Отдел жилищно-коммунального хозяйства, пассажирского транспорта и автомобильных дорог района имени Магжана Жумабаева Северо-Казахстанской области» (далее – уполномоченный орган/услугодатель), а также на альтернативной основе через центр обслуживания населения (далее - Центр) или веб-портал «электронного правительства» www.e.gov.kz (далее - ПЭП), при условии наличия у Заявителя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 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настоящем Регламенте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 (далее - Регламент) используются следующие понятия и сокращения: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–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 (далее -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– это аппаратно–программный комплекс, предназначенный для автоматизации нотариальной деятельности и взаимодействия органов юстиции и нотариальных палат (далее – ЕНИС);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-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информационная система центров обслуживания населения Республики Казахстан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 (далее - ИС Центр);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структурно-функциональные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получатель государственной услуги – граждане Республики Казахстан,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электронный документ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региональный шлюз «электронного правительства» -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 (далее - РШЭП);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-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-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получателем государственной услуги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получателем государственной услуги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 указанным в запросе, и ИИН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получателя государственной услуги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документа), сформированный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получателем государственной услуги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документа) сформированной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Центр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Центр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оператором Центра данных получателя государственной услуги, а также данных по доверенности представителя получателя государственной услуги (при нотариально удостоверенной доверенности, при ином удостоверении доверенности –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получателя государственной услуги, а также в ЕНИС – о данных доверенности представителя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 в связи с отсутствием данных получателя государственной услуги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представленных получателем государственной услуги,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получателя государственной услуги)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получателем государственной услуги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оснований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услуге в связи с имеющимися нарушениями в документах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получателем государственной услуги через оператора Центра результата услуги (уведомление о постановке на учет с указанием порядкового номера очереди либо мотивированный ответ об отказе в постановке на учет с указанием обоснованных причин в форме электронного документа в форме электронного документа) сформированной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Формы заполнения запроса и ответа на услугу приведены на 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УО/Центр.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саll–центра: (1414).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получателям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 у лица, которому оказывается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с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ЭЦП.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373"/>
        <w:gridCol w:w="1311"/>
        <w:gridCol w:w="1311"/>
        <w:gridCol w:w="1343"/>
        <w:gridCol w:w="1343"/>
        <w:gridCol w:w="1311"/>
        <w:gridCol w:w="1048"/>
        <w:gridCol w:w="1311"/>
        <w:gridCol w:w="109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ПЭП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услуге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мину-та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1163"/>
        <w:gridCol w:w="1399"/>
        <w:gridCol w:w="1211"/>
        <w:gridCol w:w="1247"/>
        <w:gridCol w:w="1221"/>
        <w:gridCol w:w="1673"/>
        <w:gridCol w:w="1078"/>
        <w:gridCol w:w="1247"/>
        <w:gridCol w:w="1202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ГБД ФЛ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ЭЦП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запроса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минут 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кунд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10-15 секунд 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</w:tr>
      <w:tr>
        <w:trPr>
          <w:trHeight w:val="3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1166"/>
        <w:gridCol w:w="1209"/>
        <w:gridCol w:w="1209"/>
        <w:gridCol w:w="1147"/>
        <w:gridCol w:w="1137"/>
        <w:gridCol w:w="1115"/>
        <w:gridCol w:w="1073"/>
        <w:gridCol w:w="1052"/>
        <w:gridCol w:w="1115"/>
        <w:gridCol w:w="111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ЕНИС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РШЭП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ние)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роса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услу-ги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минута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 – 1 мину-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</w:tr>
      <w:tr>
        <w:trPr>
          <w:trHeight w:val="3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 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82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
электронной государственной услуги через услугодателя </w:t>
      </w:r>
      <w:r>
        <w:drawing>
          <wp:inline distT="0" distB="0" distL="0" distR="0">
            <wp:extent cx="12407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407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/>
          <w:i w:val="false"/>
          <w:color w:val="000000"/>
        </w:rPr>
        <w:t>Диаграмма № 3 функционального взаимодействия при оказании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319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319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10293"/>
      </w:tblGrid>
      <w:tr>
        <w:trPr>
          <w:trHeight w:val="70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начальное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826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завершающее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промежуточное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95300" cy="495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Простые события завершающие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080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0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Ошибка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001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Информационная система 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7874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4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889000" cy="139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управления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176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 сообщений</w:t>
            </w:r>
          </w:p>
        </w:tc>
      </w:tr>
      <w:tr>
        <w:trPr>
          <w:trHeight w:val="3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drawing>
                <wp:inline distT="0" distB="0" distL="0" distR="0">
                  <wp:extent cx="5842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документ, представляемый конечному потребителю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частном жилищном фонде»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