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b61" w14:textId="eb76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2012 года N 384. Зарегистрировано Департаментом юстиции Северо-Казахстанской области 1 февраля 2012 года N 2139.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Северо-Казахстанской области Макенова З.Б.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В. 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 N 384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Жамбылского района»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