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6b61" w14:textId="eb76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2012 года N 384. Зарегистрировано Департаментом юстиции Северо-Казахстанской области 1 февраля 2012 года N 2139.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Жамбылского района Северо-Казахстанской области от 21.05.2013 N 134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Жамбылского района Северо-Казахстанской области Макенова З.Б.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 В. 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Жумагалиев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декабря 2012 года N 384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электронная государственная услуга) оказывается государственным учреждением «Отдел жилищно-коммунального хозяйства, пассажирского транспорта и автомобильных дорог Жамбылского района» (далее – уполномоченный орган/услугодатель), а также на альтернативной основе через центр обслуживания населения (далее - Центр) или веб-портал «электронного правительства» www.e.gov.kz (далее - ПЭП), при условии наличия у Заявителя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 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 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аппаратно–программный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государственной услуги – граждане Республики Казахстан,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Центр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Центр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 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373"/>
        <w:gridCol w:w="1311"/>
        <w:gridCol w:w="1311"/>
        <w:gridCol w:w="1343"/>
        <w:gridCol w:w="1343"/>
        <w:gridCol w:w="1311"/>
        <w:gridCol w:w="1048"/>
        <w:gridCol w:w="1311"/>
        <w:gridCol w:w="10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163"/>
        <w:gridCol w:w="1399"/>
        <w:gridCol w:w="1211"/>
        <w:gridCol w:w="1247"/>
        <w:gridCol w:w="1221"/>
        <w:gridCol w:w="1673"/>
        <w:gridCol w:w="1078"/>
        <w:gridCol w:w="1247"/>
        <w:gridCol w:w="12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ЭЦП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минут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166"/>
        <w:gridCol w:w="1209"/>
        <w:gridCol w:w="1209"/>
        <w:gridCol w:w="1147"/>
        <w:gridCol w:w="1137"/>
        <w:gridCol w:w="1115"/>
        <w:gridCol w:w="1073"/>
        <w:gridCol w:w="1052"/>
        <w:gridCol w:w="1115"/>
        <w:gridCol w:w="111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8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электронной государственной услуги через услугодателя </w:t>
      </w:r>
      <w:r>
        <w:drawing>
          <wp:inline distT="0" distB="0" distL="0" distR="0">
            <wp:extent cx="12407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Диаграмма № 3 функционального взаимодействия при оказании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890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84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