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f14a" w14:textId="b83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отделом земельных отношений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31 июля 2012 года N 201. Зарегистрировано Департаментом юстиции Северо-Казахстанской области 29 августа 2012 года N 13-7-179. Утратило силу - постановлением акимата Жамбылского района Северо-Казахстанской области от 29 января 2013 года N 14</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Жамбылского района Северо-Казахстанской области от 29.01.2013 </w:t>
      </w:r>
      <w:r>
        <w:rPr>
          <w:rFonts w:ascii="Times New Roman"/>
          <w:b w:val="false"/>
          <w:i w:val="false"/>
          <w:color w:val="ff0000"/>
          <w:sz w:val="28"/>
        </w:rPr>
        <w:t>N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начальника государственного учреждения «Отдел земельных отношений Жамбылского района».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С. Ибраев</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31 июля 2012 года № 201</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Жамбылского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государственной услуги «Оформление и выдача актов на право частной собственности на земельный участок»,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6"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Жамбылский район, село Пресновка, улица Е. Шайкина 30, телефон: (8-715-44) 2-28-48;</w:t>
      </w:r>
      <w:r>
        <w:br/>
      </w:r>
      <w:r>
        <w:rPr>
          <w:rFonts w:ascii="Times New Roman"/>
          <w:b w:val="false"/>
          <w:i w:val="false"/>
          <w:color w:val="000000"/>
          <w:sz w:val="28"/>
        </w:rPr>
        <w:t xml:space="preserve">
      в здании Центра по адресу: Северо-Казахстанская область, Жамбылский район, переулок Горького 10 «Г», телефон: 8-(715-44)2-29-16.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www.ozo-zhb.sko.kz.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2" w:id="9"/>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9"/>
    <w:bookmarkStart w:name="z33"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4"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5"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55200" cy="53975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8"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31 июля 2012 года № 201</w:t>
      </w:r>
    </w:p>
    <w:bookmarkEnd w:id="15"/>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9" w:id="16"/>
    <w:p>
      <w:pPr>
        <w:spacing w:after="0"/>
        <w:ind w:left="0"/>
        <w:jc w:val="left"/>
      </w:pPr>
      <w:r>
        <w:rPr>
          <w:rFonts w:ascii="Times New Roman"/>
          <w:b/>
          <w:i w:val="false"/>
          <w:color w:val="000000"/>
        </w:rPr>
        <w:t xml:space="preserve"> 
1. Общие положения</w:t>
      </w:r>
    </w:p>
    <w:bookmarkEnd w:id="16"/>
    <w:bookmarkStart w:name="z40"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Жамбылского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5"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6"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Жамбылский район, село Пресновка, улица Е. Шайкина 30, телефон: (8-715-44) 2-28-48;</w:t>
      </w:r>
      <w:r>
        <w:br/>
      </w:r>
      <w:r>
        <w:rPr>
          <w:rFonts w:ascii="Times New Roman"/>
          <w:b w:val="false"/>
          <w:i w:val="false"/>
          <w:color w:val="000000"/>
          <w:sz w:val="28"/>
        </w:rPr>
        <w:t xml:space="preserve">
      в здании Центра по адресу: Северо-Казахстанская область, Жамбылский район, переулок Горького 10 «Г», телефон: 8-(715-44)2-29-16.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www.ozo-zhb.sko.kz.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4"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5"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2" w:id="22"/>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2"/>
    <w:bookmarkStart w:name="z63"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65"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55200" cy="53975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8"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31 июля 2012 года № 201</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9" w:id="29"/>
    <w:p>
      <w:pPr>
        <w:spacing w:after="0"/>
        <w:ind w:left="0"/>
        <w:jc w:val="left"/>
      </w:pPr>
      <w:r>
        <w:rPr>
          <w:rFonts w:ascii="Times New Roman"/>
          <w:b/>
          <w:i w:val="false"/>
          <w:color w:val="000000"/>
        </w:rPr>
        <w:t xml:space="preserve"> 
1. Общие положения</w:t>
      </w:r>
    </w:p>
    <w:bookmarkEnd w:id="29"/>
    <w:bookmarkStart w:name="z70"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Жамбылского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5"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6"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Жамбылский район, село Пресновка, улица Е. Шайкина 30, телефон: (8-715-44) 2-28-48;</w:t>
      </w:r>
      <w:r>
        <w:br/>
      </w:r>
      <w:r>
        <w:rPr>
          <w:rFonts w:ascii="Times New Roman"/>
          <w:b w:val="false"/>
          <w:i w:val="false"/>
          <w:color w:val="000000"/>
          <w:sz w:val="28"/>
        </w:rPr>
        <w:t xml:space="preserve">
      в здании Центра по адресу: Северо-Казахстанская область, Жамбылский район, переулок Горького 10 «Г», телефон: 8-(715-44)2-29-16. </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www.ozo-zhb.sko.kz.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4"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85"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2" w:id="3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5"/>
    <w:bookmarkStart w:name="z93"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4"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95"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55200" cy="53975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8"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от 31 июля 2012 года № 201</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99" w:id="42"/>
    <w:p>
      <w:pPr>
        <w:spacing w:after="0"/>
        <w:ind w:left="0"/>
        <w:jc w:val="left"/>
      </w:pPr>
      <w:r>
        <w:rPr>
          <w:rFonts w:ascii="Times New Roman"/>
          <w:b/>
          <w:i w:val="false"/>
          <w:color w:val="000000"/>
        </w:rPr>
        <w:t xml:space="preserve"> 
1. Общие положения</w:t>
      </w:r>
    </w:p>
    <w:bookmarkEnd w:id="42"/>
    <w:bookmarkStart w:name="z100"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Жамбылского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утвержденного постановлением Правительства Республики Казахстан от 17 февраля 2010 года № 102.</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5"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106"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Жамбылский район, село Пресновка, улица Е. Шайкина 30, телефон: (8-715-44) 2-28-48;</w:t>
      </w:r>
      <w:r>
        <w:br/>
      </w:r>
      <w:r>
        <w:rPr>
          <w:rFonts w:ascii="Times New Roman"/>
          <w:b w:val="false"/>
          <w:i w:val="false"/>
          <w:color w:val="000000"/>
          <w:sz w:val="28"/>
        </w:rPr>
        <w:t xml:space="preserve">
      в здании Центра по адресу: Северо-Казахстанская область, Жамбылский район, переулок Горького 10 «Г», телефон: 8-(715-44)2-29-16.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xml:space="preserve">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www.ozo-zhb.sko.kz.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4"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15"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2" w:id="4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8"/>
    <w:bookmarkStart w:name="z123"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4"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уполномоченного лица, подпись)</w:t>
      </w:r>
    </w:p>
    <w:bookmarkStart w:name="z125"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55200" cy="53975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