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bbd5a" w14:textId="9cbbd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призыва на срочную воинскую службу граждан на территории района в апреле-июне и октябре-декабре 2012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Северо-Казахстанской области от 19 марта 2012 года N 93. Зарегистрировано Департаментом юстиции Северо-Казахстанской области 4 апреля 2012 года N 13-7-172. Утратило силу (письмо аппарата акима Жамбылского района Северо-Казахстанской области от 8 апреля 2013 года N 02-05-1.4-2/336)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(письмо аппарата акима Жамбылского района Северо-Казахстанской области от 08.04.2013 N 02-05-1.4-2/336)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28,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№ 561-IV «О воинской службе и статусе военнослужащих»,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очередной призыв на срочную воинскую службу в апреле-июне, октябре-декабре 2012 года, граждан Республики Казахстан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 через государственное учреждение «Отдел по делам обороны Жамбылского района Северо-Казахстанской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2. Утвердить прилагаемые графики проведения призыва граждан на воинскую службу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3. Акимам сельских округов обеспечить своевременную доставку призывников в местный орган военного управления района при проведении призыва граждан на воинскую службу.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4. Государственному учреждению «Отдел финансов Жамбылского района» обеспечить своевременное финансирование расходов на мероприятия по призыву граждан на воинскую службу за счет средств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5. Руководителю аппарата акима района на время проведения призыва принять на работу технических работников и лиц обслуживающего персонала в количестве 2 единиц.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6. Контроль за исполнением настоящего постановления возложить на заместителя акима района Сарбасова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7.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1 апреля 2012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Жамбылского района                         С. Ибраев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«Управление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Жамбылского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Северо-Казахстанской области»              Аскаров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Мурат Манапович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 19 марта 2012 года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марта 2012 года № 93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</w:t>
      </w:r>
      <w:r>
        <w:br/>
      </w:r>
      <w:r>
        <w:rPr>
          <w:rFonts w:ascii="Times New Roman"/>
          <w:b/>
          <w:i w:val="false"/>
          <w:color w:val="000000"/>
        </w:rPr>
        <w:t>
проведения призыва граждан по Жамбылскому району</w:t>
      </w:r>
      <w:r>
        <w:br/>
      </w:r>
      <w:r>
        <w:rPr>
          <w:rFonts w:ascii="Times New Roman"/>
          <w:b/>
          <w:i w:val="false"/>
          <w:color w:val="000000"/>
        </w:rPr>
        <w:t>
весной 2012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8"/>
        <w:gridCol w:w="3207"/>
        <w:gridCol w:w="1108"/>
        <w:gridCol w:w="1399"/>
        <w:gridCol w:w="1443"/>
        <w:gridCol w:w="1399"/>
        <w:gridCol w:w="1399"/>
        <w:gridCol w:w="1467"/>
      </w:tblGrid>
      <w:tr>
        <w:trPr>
          <w:trHeight w:val="30" w:hRule="atLeast"/>
        </w:trPr>
        <w:tc>
          <w:tcPr>
            <w:tcW w:w="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3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 прохождения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02.04.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04.04.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Железенский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Новорыбинский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: Заседания призывной комиссии по гражданам, не прошедшим призывную комиссию, проводятся один раз в неделю по средам, в весенний призыв до 30 июня 2012 года, осенний призыв до 30 декабря 2012 года.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марта 2012 года № 93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</w:t>
      </w:r>
      <w:r>
        <w:br/>
      </w:r>
      <w:r>
        <w:rPr>
          <w:rFonts w:ascii="Times New Roman"/>
          <w:b/>
          <w:i w:val="false"/>
          <w:color w:val="000000"/>
        </w:rPr>
        <w:t>
проведения призыва граждан по Жамбылскому району осенью 2012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3320"/>
        <w:gridCol w:w="1168"/>
        <w:gridCol w:w="1301"/>
        <w:gridCol w:w="1501"/>
        <w:gridCol w:w="1546"/>
        <w:gridCol w:w="1191"/>
        <w:gridCol w:w="1391"/>
      </w:tblGrid>
      <w:tr>
        <w:trPr>
          <w:trHeight w:val="30" w:hRule="atLeast"/>
        </w:trPr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3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ловек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 прохождения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02.10.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г.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Железенский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Новорыбинский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: Заседания призывной комиссии по гражданам, не прошедшим призывную комиссию, проводятся один раз в неделю по средам, в весенний призыв до 30 июня 2012 года, осенний призыв до 30 декабря 2012 года.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