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116132" w14:textId="f11613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регламента электронной государственной услуги "Постановка на учет и очередность граждан, нуждающихся в жилище из государственного жилищного фонда или жилище, арендованном местным исполнительным органом в частном жилищном фонде"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Есильского района Северо-Казахстанской области от 21 декабря 2012 года N 519. Зарегистрировано Департаментом юстиции Северо-Казахстанской области 24 января 2013 года N 2107. Утратило силу постановлением акимата Есильского района Северо-Казахстанской области от 23 мая 2013 года N 202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   Сноска. Утратило силу постановлением акимата Есильского района Северо-Казахстанской области от 23.05.2013 N 202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9-1 Закона Республики Казахстан от 27 ноября 2000 года «Об административных процедурах»,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8 февраля 2010 года № 76 «Постановка на учет и очередность граждан, нуждающихся в жилище из государственного жилищного фонда или жилище, арендованном местным исполнительным органом в частном жилищном фонде», акимат Есильского района Северо-Казахстанской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прилагаемый 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электронной государственной услуги «Постановка на учет и очередность граждан, нуждающихся в жилище из государственного жилищного фонда или жилище, арендованном местным исполнительным органом в частном жилищном фонде».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заместителя акима Есильского района Жусупова Отегена Рахимгазиевича.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 </w:t>
      </w:r>
      <w:r>
        <w:rPr>
          <w:rFonts w:ascii="Times New Roman"/>
          <w:b w:val="false"/>
          <w:i/>
          <w:color w:val="000000"/>
          <w:sz w:val="28"/>
        </w:rPr>
        <w:t xml:space="preserve"> Аким района                               Е. Нуракаев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«СОГЛАСОВАНО»: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Министр транспорта и коммуникаций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   А. Жумагалиев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Утвержден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постановлением акимата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Есильского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 21 декабря 2012 года N 519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электронной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
«Постановка на учет и очередность граждан, нуждающихся в жилище из государственного жилищного фонда или жилище, арендованном местным исполнительным органом в частном жилищном фонде»</w:t>
      </w:r>
    </w:p>
    <w:bookmarkStart w:name="z6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Электронная государственная услуга «Постановка на учет и очередность граждан, нуждающихся в жилище из государственного жилищного фонда или жилище, арендованном местным исполнительным органом в частном жилищном фонде» (далее – электронная государственная услуга) оказывается государственным учреждением «Отдел жилищно-коммунального хозяйства, пассажирского транспорта и автомобильных дорог Есильского района Северо-Казахстанской области» (далее – уполномоченный орган/услугодатель), а также на альтернативной основе через центр обслуживания населения (далее - Центр) или веб-портал «электронного правительства» www.e.gov.kz (далее - ПЭП), при условии наличия у Заявителя электронной цифровой подписи (далее - ЭЦП).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целях обеспечения доступности государственных услуг жителям отдаленных населенных пунктов допускается оказание государственных услуг через Мобильные центры.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Электронная государственная услуга оказывается на основании </w:t>
      </w:r>
      <w:r>
        <w:rPr>
          <w:rFonts w:ascii="Times New Roman"/>
          <w:b w:val="false"/>
          <w:i w:val="false"/>
          <w:color w:val="000000"/>
          <w:sz w:val="28"/>
        </w:rPr>
        <w:t>стандарта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«Постановка на учет и очередность граждан, нуждающихся в жилище из государственного жилищного фонда или жилище, арендованном местным исполнительным органом в частном жилищном фонде», утвержденного постановлением Правительства Республики Казахстан от 8 февраля 2010 года № 76 (далее – Стандарт).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Степень автоматизации электронной государственной услуги: частично автоматизированная (электронная государственная услуга, содержащая медиа-разрывы).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Вид оказания электронной государственной услуги: транзакционная.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В настоящем Регламенте «Постановка на учет и очередность граждан, нуждающихся в жилище из государственного жилищного фонда или жилище, арендованном местным исполнительным органом в частном жилищном фонде» (далее - Регламент) используются следующие понятия и сокращения: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АРМ – автоматизированное рабочее место;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информационная система – система, предназначенная для хранения, обработки, поиска, распространения, передачи и предоставления информации с применением аппаратно-программного комплекса (далее - ИС);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единая нотариальная информационная система – это аппаратно–программный комплекс, предназначенный для автоматизации нотариальной деятельности и взаимодействия органов юстиции и нотариальных палат (далее – ЕНИС);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индивидуальный идентификационный номер – уникальный номер, формируемый для физического лица, в том числе индивидуального предпринимателя, осуществляющего деятельность в виде личного предпринимательства (далее - ИИН);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государственная база данных «Физические лица» - информационная система, предназначенная для автоматизированного сбора, хранения и обработки информации, создания Национального реестра индивидуальных идентификационных номеров с целью внедрения единой идентификации физических лиц в Республике Казахстан и предоставления о них актуальных и достоверных сведений органам государственного управления и прочим субъектам в рамках их полномочий и в соответствии с законодательством Республики Казахстан (далее – ГБД ФЛ);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информационная система центров обслуживания населения Республики Казахстан – информационная система, предназначенная для автоматизации процесса предоставления услуг населению (физическим и юридическим лицам) через Центры обслуживания населения Республики Казахстан, а также соответствующими министерствами и ведомствами (далее - ИС Центр);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структурно-функциональные единицы (далее - СФЕ) перечень структурных подразделений государственных органов, учреждений или иных организаций, которые участвуют в процессе оказания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пользователь – субъект, обращающийся к информационной системе за получением необходимых ему электронных информационных ресурсов и пользующийся ими;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транзакционная услуга - услуга по предоставлению пользователям электронных информационных ресурсов, требующая взаимного обмена информацией с применением электронной цифровой подписи;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10) получатель государственной услуги – граждане Республики Казахстан, указанные в </w:t>
      </w:r>
      <w:r>
        <w:rPr>
          <w:rFonts w:ascii="Times New Roman"/>
          <w:b w:val="false"/>
          <w:i w:val="false"/>
          <w:color w:val="000000"/>
          <w:sz w:val="28"/>
        </w:rPr>
        <w:t>пункте 6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11) электронная государственная услуга – государственная услуга, оказываемая в электронной форме с применением информационных технологий;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12) электронный документ – документ, в котором информация представлена в электронно-цифровой форме и удостоверена посредством ЭЦП;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13) веб-портал «электронного правительства» (далее - ПЭП) - информационная система, представляющая собой единое окно доступа ко всей консолидированной правительственной информации, включая нормативную правовую базу, и к электронным государственным услугам;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14) региональный шлюз «электронного правительства» - подсистема шлюза «электронного правительства», предназначенная для интеграции информационных систем «электронного акимата» в рамках реализации электронных услуг (далее - РШЭП);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15) шлюз «электронного правительства» - информационная система, предназначенная для интеграции информационных систем «электронного правительства» в рамках реализации электронных услуг (далее - ШЭП);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16) электронная цифровая подпись - набор электронных цифровых символов, созданный средствами электронной цифровой подписи и подтверждающий достоверность электронного документа, его принадлежность и неизменность содержания (далее - ЭЦП).</w:t>
      </w:r>
    </w:p>
    <w:bookmarkEnd w:id="3"/>
    <w:bookmarkStart w:name="z12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Порядок деятельности услугодателя по оказанию</w:t>
      </w:r>
      <w:r>
        <w:br/>
      </w:r>
      <w:r>
        <w:rPr>
          <w:rFonts w:ascii="Times New Roman"/>
          <w:b/>
          <w:i w:val="false"/>
          <w:color w:val="000000"/>
        </w:rPr>
        <w:t>
электронной государственной услуги</w:t>
      </w:r>
    </w:p>
    <w:bookmarkEnd w:id="4"/>
    <w:bookmarkStart w:name="z13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Пошаговые действия через ПЭП (диаграмма № 1 функционального взаимодействия при оказании услуги) приведены в 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получатель государственной услуги осуществляет регистрацию на ПЭП с помощью ИИН и пароля (осуществляется для незарегистрированных получателей государственной услуги на ПЭП);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процесс 1 – ввод получателем государственной услуги ИИН и пароля (процесс авторизации) на ПЭП для получения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условие 1 – проверка на ПЭП подлинности данных о зарегистрированном получателе государственной услуги через ИИН и пароль;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процесс 2 – формирование ПЭП сообщения об отказе в авторизации в связи с имеющими нарушениями в данных получателя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процесс 3 – выбор получателем государственной услуги, указанной в настоящем Регламенте, вывод на экран формы запроса для оказания услуги и заполнение получателем государственной услуги формы (ввод данных) с учетом ее структуры и форматных требований, прикрепление к форме запроса необходимых копий документов в электронном виде, указанных в </w:t>
      </w:r>
      <w:r>
        <w:rPr>
          <w:rFonts w:ascii="Times New Roman"/>
          <w:b w:val="false"/>
          <w:i w:val="false"/>
          <w:color w:val="000000"/>
          <w:sz w:val="28"/>
        </w:rPr>
        <w:t>пункте 11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а также выбор получателем государственной услуги регистрационного свидетельства ЭЦП для удостоверения (подписания) запроса;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условие 2 – проверка на ПЭП срока действия регистрационного свидетельства ЭЦП и отсутствия в списке отозванных (аннулированных) регистрационных свидетельств, а также соответствия идентификационных данных (между ИИН указанным в запросе, и ИИН указанным в регистрационном свидетельстве ЭЦП;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процесс 4 – формирование сообщения об отказе в запрашиваемой услуге в связи с не подтверждением подлинности ЭЦП получателя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процесс 5 – удостоверение запроса для оказания услуги посредством ЭЦП получателя государственной услуги и направление электронного документа (запроса) через ШЭП в АРМ РШЭП для обработки услугодателем;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процесс 6 – регистрация электронного документа в АРМ РШЭП;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10) условие 3 – проверка (обработка) услугодателем соответствия приложенных получателем государственной услуги документов, указанных в </w:t>
      </w:r>
      <w:r>
        <w:rPr>
          <w:rFonts w:ascii="Times New Roman"/>
          <w:b w:val="false"/>
          <w:i w:val="false"/>
          <w:color w:val="000000"/>
          <w:sz w:val="28"/>
        </w:rPr>
        <w:t>пункте 11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и оснований для оказания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11) процесс 7 – формирование сообщения об отказе в запрашиваемой услуге в связи с имеющимися нарушениями в документах получателя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12) процесс 8 – получение получателем государственной услуги результата услуги (уведомление о постановке на учет с указанием порядкового номера очереди либо мотивированный ответ об отказе в постановке на учет с указанием обоснованных причин в форме электронного документа), сформированный АРМ РШЭП. Электронный документ формируется с использованием ЭЦП уполномоченного лица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Пошаговые действия через услугодателя (диаграмма № 2 функционального взаимодействия при оказании услуги) приведены в 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процесс 1 – ввод сотрудником услугодателя в АРМ РШЭП ИИН и пароля (процесс авторизации) для оказания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процесс 2 – выбор сотрудником услугодателя услуги, указанной в настоящем Регламенте, вывод на экран формы запроса для оказания услуги и ввод сотрудником услугодателя данных получателя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процесс 3 – направление запроса через ШЭП в ГБД ФЛ о данных получателя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условие 1 – проверка наличия данных получателя государственной услуги в ГБД ФЛ;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процесс 4 – формирование сообщения о невозможности получения данных в связи с отсутствием данных получателя государственной услуги в ГБД ФЛ;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процесс 5 – заполнение сотрудником услугодателя формы запроса в части отметки о наличии документов в бумажной форме и сканирование документов, предоставленных получателем государственной услуги, прикрепление их к форме запроса и удостоверение посредством ЭЦП заполненной формы (введенных данных) запроса на оказание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процесс 6 – регистрация электронного документа в АРМ РШЭП;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условие 2 – проверка (обработка) услугодателем соответствия приложенных документов, указанных в </w:t>
      </w:r>
      <w:r>
        <w:rPr>
          <w:rFonts w:ascii="Times New Roman"/>
          <w:b w:val="false"/>
          <w:i w:val="false"/>
          <w:color w:val="000000"/>
          <w:sz w:val="28"/>
        </w:rPr>
        <w:t>пункте 11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и оснований для оказания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процесс 7 – формирование сообщения об отказе в запрашиваемой услуге в связи с имеющимися нарушениями в документах получателя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10) процесс 8 – получение получателем государственной услуги результата услуги (уведомление о постановке на учет с указанием порядкового номера очереди либо мотивированный ответ об отказе в постановке на учет с указанием обоснованных причин в форме электронного документа) сформированной АРМ РШЭП. Электронный документ формируется с использованием ЭЦП уполномоченного лица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Пошаговые действия через Центр (диаграмма № 3 функционального взаимодействия при оказании услуги) приведены в 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процесс 1 - ввод оператора Центра в АРМ ИС Центр логина и пароля (процесс авторизации) для оказания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процесс 2 – выбор оператором Центра услуги, указанной в настоящем Регламенте, вывод на экран формы запроса для оказания услуги и оператором Центра данных получателя государственной услуги, а также данных по доверенности представителя получателя государственной услуги (при нотариально удостоверенной доверенности, при ином удостоверении доверенности – данные доверенности не заполняются);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процесс 3 – направление запроса через ШЭП в ГБД ФЛ о данных получателя государственной услуги, а также в ЕНИС – о данных доверенности представителя получателя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условие 1 – проверка наличия данных получателя государственной услуги в ГБД ФЛ, данных доверенности в ЕНИС;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процесс 4 – формирование сообщения о невозможности получения данных в связи с отсутствием данных получателя государственной услуги в ГБД ФЛ, данных доверенности в ЕНИС;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процесс 5 – заполнение оператором Центра формы запроса в части отметки о наличии документов в бумажной форме и сканирование документов, представленных получателем государственной услуги, прикрепление их к форме запроса и удостоверение посредством ЭЦП заполненной формы (введенных данных) запроса на оказание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процесс 6 - направление электронного документа (запроса получателя государственной услуги) удостоверенного (подписанного) ЭЦП оператора Центра через ШЭП в АРМ РШЭП;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процесс 7 – регистрация электронного документа в АРМ РШЭП;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условие 2 – проверка (обработка) услугодателем соответствия приложенных получателем государственной услуги документов, указанных в </w:t>
      </w:r>
      <w:r>
        <w:rPr>
          <w:rFonts w:ascii="Times New Roman"/>
          <w:b w:val="false"/>
          <w:i w:val="false"/>
          <w:color w:val="000000"/>
          <w:sz w:val="28"/>
        </w:rPr>
        <w:t>пункте 11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и оснований для оказания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10) процесс 8 – формирование сообщения об отказе в запрашиваемой услуге в связи с имеющимися нарушениями в документах получателя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11) процесс 9 – получение получателем государственной услуги через оператора Центра результата услуги (уведомление о постановке на учет с указанием порядкового номера очереди либо мотивированный ответ об отказе в постановке на учет с указанием обоснованных причин в форме электронного документа в форме электронного документа) сформированной АРМ РШЭП.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Формы заполнения запроса и ответа на услугу приведены на веб-портал «Е-лицензирование» www.elicense.kz.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Способ проверки получателем статуса исполнения запроса по электронной государственной услуге: на портале «электронного правительства» в разделе «История получения услуг», а также при обращении в УО/Центр.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 Необходимую информацию и консультацию по оказанию услуги можно получить по телефону саll–центра: (1414).</w:t>
      </w:r>
    </w:p>
    <w:bookmarkEnd w:id="5"/>
    <w:bookmarkStart w:name="z19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Описание порядка взаимодействия</w:t>
      </w:r>
      <w:r>
        <w:br/>
      </w:r>
      <w:r>
        <w:rPr>
          <w:rFonts w:ascii="Times New Roman"/>
          <w:b/>
          <w:i w:val="false"/>
          <w:color w:val="000000"/>
        </w:rPr>
        <w:t>
в процессе оказания электронной государственной услуги</w:t>
      </w:r>
    </w:p>
    <w:bookmarkEnd w:id="6"/>
    <w:bookmarkStart w:name="z2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В процессе оказания государственной услуги задействованы следующие структурно-функциональные единицы (далее - СФЕ):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сотрудник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сотрудник Центра.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13. Текстовое табличное описание последовательности действий (процедур, функций, операций) с указанием срока выполнения каждого действия приведено в 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14. Диаграмма, отражающая взаимосвязь между логической последовательностью действий (в процессе оказания электронной государственной услуги) в соответствии с их описаниями, приведена в 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15. Результаты оказания услуги получателям государственной услуги измеряются показателями качества и доступности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приложением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16. Требования, предъявляемые к процессу оказания услуги получателям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конфиденциальность (защита от несанкционированного получения информации);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целостность (защита от несанкционированного изменения информации);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доступность (защита от несанкционированного удержания информации и ресурсов).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17. Техническое условие оказания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выход в Интернет;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наличие ИИН у лица, которому оказывается услуга;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авторизация с ПЭП;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наличие пользователя ЭЦП.</w:t>
      </w:r>
    </w:p>
    <w:bookmarkEnd w:id="7"/>
    <w:bookmarkStart w:name="z2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 Регламенту электронной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 «</w:t>
      </w:r>
      <w:r>
        <w:rPr>
          <w:rFonts w:ascii="Times New Roman"/>
          <w:b w:val="false"/>
          <w:i w:val="false"/>
          <w:color w:val="000000"/>
          <w:sz w:val="28"/>
        </w:rPr>
        <w:t>Постановка на учет и очередность граждан,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нуждающихся в жилище из государственного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жилищного фонда или жилище, арендованном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местным исполнительным органом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частном жилищном фонде»</w:t>
      </w:r>
    </w:p>
    <w:bookmarkEnd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Таблица 1. Описание действий СФЕ через ПЭП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31"/>
        <w:gridCol w:w="1373"/>
        <w:gridCol w:w="1311"/>
        <w:gridCol w:w="1311"/>
        <w:gridCol w:w="1343"/>
        <w:gridCol w:w="1343"/>
        <w:gridCol w:w="1311"/>
        <w:gridCol w:w="1048"/>
        <w:gridCol w:w="1311"/>
        <w:gridCol w:w="1090"/>
      </w:tblGrid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Действия основного процесса (хода, потока работ)</w:t>
            </w:r>
          </w:p>
        </w:tc>
      </w:tr>
      <w:tr>
        <w:trPr>
          <w:trHeight w:val="30" w:hRule="atLeast"/>
        </w:trPr>
        <w:tc>
          <w:tcPr>
            <w:tcW w:w="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действия (хода, потока работ)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</w:tr>
      <w:tr>
        <w:trPr>
          <w:trHeight w:val="30" w:hRule="atLeast"/>
        </w:trPr>
        <w:tc>
          <w:tcPr>
            <w:tcW w:w="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 СФЕ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чате-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дарс-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твен-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ПЭП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чате-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дарс-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твен-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ПЭП 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чате-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дарс-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твен-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АРМ РШЭП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АРМ РШЭП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АРМ РШЭП</w:t>
            </w:r>
          </w:p>
        </w:tc>
      </w:tr>
      <w:tr>
        <w:trPr>
          <w:trHeight w:val="30" w:hRule="atLeast"/>
        </w:trPr>
        <w:tc>
          <w:tcPr>
            <w:tcW w:w="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цесса,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проце-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дуры,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ции)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ризу-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ется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ПЭП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ИИН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лю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миру-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сооб-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отка-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имею-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щими-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нару-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чате-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Выби-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миру-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выбо-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чате-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дарс-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твен-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ЭЦП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сооб-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отказе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имею-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щимися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нару-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шения-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дарст-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ЭЦП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Удос-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(под-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писа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редс-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твом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ЭЦП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чате-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ля госу-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дарс-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твен-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АРМ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РШЭП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 докумен-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сооб-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отка-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имею-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щими-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нару-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шени-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ями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чате-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дарс-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твен-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зуль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</w:t>
            </w:r>
          </w:p>
        </w:tc>
      </w:tr>
      <w:tr>
        <w:trPr>
          <w:trHeight w:val="30" w:hRule="atLeast"/>
        </w:trPr>
        <w:tc>
          <w:tcPr>
            <w:tcW w:w="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завер-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(дан-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низа-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ционно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-рас-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поря-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дите-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льное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реше-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ние)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Отоб-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раже-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дом-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успе-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роса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сооб-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отка-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раши-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трон-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дарс-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твен-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Марш-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рути-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роса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рова-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сооб-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отказе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запра-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шивае-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дарст-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услуге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Марш-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рути-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роса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зая-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вле-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нию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моти-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отка-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ход-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</w:t>
            </w:r>
          </w:p>
        </w:tc>
      </w:tr>
      <w:tr>
        <w:trPr>
          <w:trHeight w:val="30" w:hRule="atLeast"/>
        </w:trPr>
        <w:tc>
          <w:tcPr>
            <w:tcW w:w="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нения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кунд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се-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кунд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 минут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 минут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кунд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мину-та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се-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кунд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ми-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нут</w:t>
            </w:r>
          </w:p>
        </w:tc>
      </w:tr>
      <w:tr>
        <w:trPr>
          <w:trHeight w:val="30" w:hRule="atLeast"/>
        </w:trPr>
        <w:tc>
          <w:tcPr>
            <w:tcW w:w="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следу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дейст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вия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нару-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чате-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дарс-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твен-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риза-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прош-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успеш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–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нару-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чате-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дарс-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твен-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ги;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нару-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–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дарс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твен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Таблица 2. Описание действий СФЕ через услугодателя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31"/>
        <w:gridCol w:w="1163"/>
        <w:gridCol w:w="1399"/>
        <w:gridCol w:w="1211"/>
        <w:gridCol w:w="1247"/>
        <w:gridCol w:w="1221"/>
        <w:gridCol w:w="1673"/>
        <w:gridCol w:w="1078"/>
        <w:gridCol w:w="1247"/>
        <w:gridCol w:w="1202"/>
      </w:tblGrid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Действия основного процесса (хода, потока работ)</w:t>
            </w:r>
          </w:p>
        </w:tc>
      </w:tr>
      <w:tr>
        <w:trPr>
          <w:trHeight w:val="30" w:hRule="atLeast"/>
        </w:trPr>
        <w:tc>
          <w:tcPr>
            <w:tcW w:w="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твия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(хо-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пото-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бот)</w:t>
            </w:r>
          </w:p>
        </w:tc>
        <w:tc>
          <w:tcPr>
            <w:tcW w:w="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</w:tr>
      <w:tr>
        <w:trPr>
          <w:trHeight w:val="30" w:hRule="atLeast"/>
        </w:trPr>
        <w:tc>
          <w:tcPr>
            <w:tcW w:w="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СФЕ,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</w:t>
            </w:r>
          </w:p>
        </w:tc>
        <w:tc>
          <w:tcPr>
            <w:tcW w:w="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руд-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теля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руд-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теля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руд-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теля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ГБД ФЛ 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Сотруд-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дателя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руд-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руд-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руд-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</w:t>
            </w:r>
          </w:p>
        </w:tc>
      </w:tr>
      <w:tr>
        <w:trPr>
          <w:trHeight w:val="30" w:hRule="atLeast"/>
        </w:trPr>
        <w:tc>
          <w:tcPr>
            <w:tcW w:w="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твия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цеду-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раци-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и)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сание</w:t>
            </w:r>
          </w:p>
        </w:tc>
        <w:tc>
          <w:tcPr>
            <w:tcW w:w="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ризу-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ется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РШЭП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через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ИИН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роль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Выбор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руд-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ником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ги 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рав-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чате-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дарс-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твен-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ГБД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бще-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ГБД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Запол-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формы-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запроса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при-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крепле-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скани-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удосто-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верени-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ем ЭЦП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РШЭП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миру-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сооб-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отка-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имею-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щими-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нару-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шени-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ями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чате-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дарс-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твен-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чате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льта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</w:t>
            </w:r>
          </w:p>
        </w:tc>
      </w:tr>
      <w:tr>
        <w:trPr>
          <w:trHeight w:val="30" w:hRule="atLeast"/>
        </w:trPr>
        <w:tc>
          <w:tcPr>
            <w:tcW w:w="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заве-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рше-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(дан-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низа-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цион-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поря-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дите-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льное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реше-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ние)</w:t>
            </w:r>
          </w:p>
        </w:tc>
        <w:tc>
          <w:tcPr>
            <w:tcW w:w="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Расписка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Отоб-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раже-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дом-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успе-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роса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Марш-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рути-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зация зап-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роса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Маршру-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тизация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запроса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ени-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зая-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вле-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нию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моти-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отка-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льта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дом-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лени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</w:t>
            </w:r>
          </w:p>
        </w:tc>
      </w:tr>
      <w:tr>
        <w:trPr>
          <w:trHeight w:val="30" w:hRule="atLeast"/>
        </w:trPr>
        <w:tc>
          <w:tcPr>
            <w:tcW w:w="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исполнения</w:t>
            </w:r>
          </w:p>
        </w:tc>
        <w:tc>
          <w:tcPr>
            <w:tcW w:w="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10-15 се-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кунд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се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кунд 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1,5 минут 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10-15 се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кунд 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10-15 секунд 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 ми-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нут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 минут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10-15 се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кунд</w:t>
            </w:r>
          </w:p>
        </w:tc>
      </w:tr>
      <w:tr>
        <w:trPr>
          <w:trHeight w:val="30" w:hRule="atLeast"/>
        </w:trPr>
        <w:tc>
          <w:tcPr>
            <w:tcW w:w="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следующего действия</w:t>
            </w:r>
          </w:p>
        </w:tc>
        <w:tc>
          <w:tcPr>
            <w:tcW w:w="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–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нару-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ния;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–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нару-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ния;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Таблица 3. Описание действий СФЕ через Центр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34"/>
        <w:gridCol w:w="1166"/>
        <w:gridCol w:w="1209"/>
        <w:gridCol w:w="1209"/>
        <w:gridCol w:w="1147"/>
        <w:gridCol w:w="1137"/>
        <w:gridCol w:w="1115"/>
        <w:gridCol w:w="1073"/>
        <w:gridCol w:w="1052"/>
        <w:gridCol w:w="1115"/>
        <w:gridCol w:w="1115"/>
      </w:tblGrid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Действия основного процесса (хода, потока работ)</w:t>
            </w:r>
          </w:p>
        </w:tc>
      </w:tr>
      <w:tr>
        <w:trPr>
          <w:trHeight w:val="30" w:hRule="atLeast"/>
        </w:trPr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твия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(хо-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пото-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бот)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</w:tr>
      <w:tr>
        <w:trPr>
          <w:trHeight w:val="30" w:hRule="atLeast"/>
        </w:trPr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СФЕ,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руд-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руд-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руд-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ГБД ФЛ, ЕНИС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руд-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руд-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руд-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Сотрудник Цент-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руд-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</w:t>
            </w:r>
          </w:p>
        </w:tc>
      </w:tr>
      <w:tr>
        <w:trPr>
          <w:trHeight w:val="30" w:hRule="atLeast"/>
        </w:trPr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твия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цеду-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раци-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и)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сание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ризу-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ется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ратор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логи-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лю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Выби-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миру-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роса 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рав-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ГБД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ЕНИС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мож-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зи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обхо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куме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удо-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ЭЦП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рав-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ренно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(под-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писа-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ЭЦП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РШЭП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 докумен-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сооб-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отка-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имею-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щими-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нару-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шени-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ями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чате-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дарс-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твен-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льта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</w:t>
            </w:r>
          </w:p>
        </w:tc>
      </w:tr>
      <w:tr>
        <w:trPr>
          <w:trHeight w:val="30" w:hRule="atLeast"/>
        </w:trPr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заве-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рше-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(дан-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низа-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цион-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поря-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дите-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льное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реше-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ние)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Расписка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Отоб-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раже-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дом-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успе-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роса 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шру-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роса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дом-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пеш-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роса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Марш-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рути-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роса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ени-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зая-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вле-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нию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моти-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отка-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зуль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услу-ги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дом-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ния</w:t>
            </w:r>
          </w:p>
        </w:tc>
      </w:tr>
      <w:tr>
        <w:trPr>
          <w:trHeight w:val="30" w:hRule="atLeast"/>
        </w:trPr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исполнения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се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кунд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се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кунд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 ми-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нут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 ми-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нут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се-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кунд – 1 минута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нута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нута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се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кунд – 1 мину-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ми-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нут</w:t>
            </w:r>
          </w:p>
        </w:tc>
      </w:tr>
      <w:tr>
        <w:trPr>
          <w:trHeight w:val="30" w:hRule="atLeast"/>
        </w:trPr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следующего действия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–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–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–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ния;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–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</w:tbl>
    <w:bookmarkStart w:name="z2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 Регламенту электронной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 «</w:t>
      </w:r>
      <w:r>
        <w:rPr>
          <w:rFonts w:ascii="Times New Roman"/>
          <w:b w:val="false"/>
          <w:i w:val="false"/>
          <w:color w:val="000000"/>
          <w:sz w:val="28"/>
        </w:rPr>
        <w:t>Постановка на учет и очередность граждан,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нуждающихся в жилище из государственного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жилищного фонда или жилище, арендованном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местным исполнительным органом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частном жилищном фонде»</w:t>
      </w:r>
    </w:p>
    <w:bookmarkEnd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Диаграмма № 1 функционального взаимодействия при оказании электронной государственной услуги через ПЭП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12382500" cy="6134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2382500" cy="6134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Диаграмма № 2 функционального взаимодействия при оказании</w:t>
      </w:r>
      <w:r>
        <w:br/>
      </w:r>
      <w:r>
        <w:rPr>
          <w:rFonts w:ascii="Times New Roman"/>
          <w:b/>
          <w:i w:val="false"/>
          <w:color w:val="000000"/>
        </w:rPr>
        <w:t xml:space="preserve">
электронной государственной услуги через услугодателя </w:t>
      </w:r>
      <w:r>
        <w:drawing>
          <wp:inline distT="0" distB="0" distL="0" distR="0">
            <wp:extent cx="12407900" cy="6591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12407900" cy="6591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/>
          <w:i w:val="false"/>
          <w:color w:val="000000"/>
        </w:rPr>
        <w:t>Диаграмма № 3 функционального взаимодействия при оказании электронной государственной услуги через ИС Центр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12319000" cy="6946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12319000" cy="6946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Таблица. Условные обозначения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253"/>
        <w:gridCol w:w="10293"/>
      </w:tblGrid>
      <w:tr>
        <w:trPr>
          <w:trHeight w:val="705" w:hRule="atLeast"/>
        </w:trPr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508000" cy="5080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08000" cy="508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Сообщение начальное</w:t>
            </w:r>
          </w:p>
        </w:tc>
      </w:tr>
      <w:tr>
        <w:trPr>
          <w:trHeight w:val="30" w:hRule="atLeast"/>
        </w:trPr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482600" cy="4826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82600" cy="482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Сообщение завершающее</w:t>
            </w:r>
          </w:p>
        </w:tc>
      </w:tr>
      <w:tr>
        <w:trPr>
          <w:trHeight w:val="30" w:hRule="atLeast"/>
        </w:trPr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495300" cy="4953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95300" cy="4953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Сообщение промежуточное</w:t>
            </w:r>
          </w:p>
        </w:tc>
      </w:tr>
      <w:tr>
        <w:trPr>
          <w:trHeight w:val="30" w:hRule="atLeast"/>
        </w:trPr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495300" cy="4953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95300" cy="4953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Простые события завершающие</w:t>
            </w:r>
          </w:p>
        </w:tc>
      </w:tr>
      <w:tr>
        <w:trPr>
          <w:trHeight w:val="30" w:hRule="atLeast"/>
        </w:trPr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508000" cy="5080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08000" cy="508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Ошибка</w:t>
            </w:r>
          </w:p>
        </w:tc>
      </w:tr>
      <w:tr>
        <w:trPr>
          <w:trHeight w:val="30" w:hRule="atLeast"/>
        </w:trPr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drawing>
                <wp:inline distT="0" distB="0" distL="0" distR="0">
                  <wp:extent cx="800100" cy="520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00100" cy="520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Информационная система </w:t>
            </w:r>
          </w:p>
        </w:tc>
      </w:tr>
      <w:tr>
        <w:trPr>
          <w:trHeight w:val="30" w:hRule="atLeast"/>
        </w:trPr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drawing>
                <wp:inline distT="0" distB="0" distL="0" distR="0">
                  <wp:extent cx="787400" cy="546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87400" cy="546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Процесс</w:t>
            </w:r>
          </w:p>
        </w:tc>
      </w:tr>
      <w:tr>
        <w:trPr>
          <w:trHeight w:val="30" w:hRule="atLeast"/>
        </w:trPr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drawing>
                <wp:inline distT="0" distB="0" distL="0" distR="0">
                  <wp:extent cx="787400" cy="546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87400" cy="546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Условие</w:t>
            </w:r>
          </w:p>
        </w:tc>
      </w:tr>
      <w:tr>
        <w:trPr>
          <w:trHeight w:val="30" w:hRule="atLeast"/>
        </w:trPr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drawing>
                <wp:inline distT="0" distB="0" distL="0" distR="0">
                  <wp:extent cx="889000" cy="139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89000" cy="139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Поток управления</w:t>
            </w:r>
          </w:p>
        </w:tc>
      </w:tr>
      <w:tr>
        <w:trPr>
          <w:trHeight w:val="30" w:hRule="atLeast"/>
        </w:trPr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1117600" cy="2413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17600" cy="2413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Поток сообщений</w:t>
            </w:r>
          </w:p>
        </w:tc>
      </w:tr>
      <w:tr>
        <w:trPr>
          <w:trHeight w:val="30" w:hRule="atLeast"/>
        </w:trPr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drawing>
                <wp:inline distT="0" distB="0" distL="0" distR="0">
                  <wp:extent cx="584200" cy="4318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84200" cy="4318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Электронный документ, представляемый конечному потребителю</w:t>
            </w:r>
          </w:p>
        </w:tc>
      </w:tr>
    </w:tbl>
    <w:bookmarkStart w:name="z2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3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 Регламенту электронной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 «</w:t>
      </w:r>
      <w:r>
        <w:rPr>
          <w:rFonts w:ascii="Times New Roman"/>
          <w:b w:val="false"/>
          <w:i w:val="false"/>
          <w:color w:val="000000"/>
          <w:sz w:val="28"/>
        </w:rPr>
        <w:t>Постановка на учет и очередность граждан,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нуждающихся в жилище из государственного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жилищного фонда или жилище, арендованном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местным исполнительным органом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частном жилищном фонде»</w:t>
      </w:r>
    </w:p>
    <w:bookmarkEnd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Форма анкеты для определения показателей</w:t>
      </w:r>
      <w:r>
        <w:br/>
      </w:r>
      <w:r>
        <w:rPr>
          <w:rFonts w:ascii="Times New Roman"/>
          <w:b/>
          <w:i w:val="false"/>
          <w:color w:val="000000"/>
        </w:rPr>
        <w:t>
электронной государственной услуги: «качество» и «доступность»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(наименование услуги)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Удовлетворены ли Вы качеством процесса и результатом оказания электронной государственной услуги?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не удовлетворен;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частично удовлетворен;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удовлетворен.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Удовлетворены ли Вы качеством информации о порядке оказания электронной государственной услуги?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не удовлетворен;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частично удовлетворен;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удовлетворен.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18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Relationship Target="media/document_image_rId9.jpeg" Type="http://schemas.openxmlformats.org/officeDocument/2006/relationships/image" Id="rId9"/><Relationship Target="media/document_image_rId10.jpeg" Type="http://schemas.openxmlformats.org/officeDocument/2006/relationships/image" Id="rId10"/><Relationship Target="media/document_image_rId11.jpeg" Type="http://schemas.openxmlformats.org/officeDocument/2006/relationships/image" Id="rId11"/><Relationship Target="media/document_image_rId12.jpeg" Type="http://schemas.openxmlformats.org/officeDocument/2006/relationships/image" Id="rId12"/><Relationship Target="media/document_image_rId13.jpeg" Type="http://schemas.openxmlformats.org/officeDocument/2006/relationships/image" Id="rId13"/><Relationship Target="media/document_image_rId14.jpeg" Type="http://schemas.openxmlformats.org/officeDocument/2006/relationships/image" Id="rId14"/><Relationship Target="media/document_image_rId15.jpeg" Type="http://schemas.openxmlformats.org/officeDocument/2006/relationships/image" Id="rId15"/><Relationship Target="media/document_image_rId16.jpeg" Type="http://schemas.openxmlformats.org/officeDocument/2006/relationships/image" Id="rId16"/><Relationship Target="media/document_image_rId17.jpeg" Type="http://schemas.openxmlformats.org/officeDocument/2006/relationships/image" Id="rId17"/><Relationship Target="header.xml" Type="http://schemas.openxmlformats.org/officeDocument/2006/relationships/header" Id="rId18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