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c15e" w14:textId="cdfc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Айыртауского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7 марта 2012 года N 5-2-2. Зарегистрировано Департаментом юстиции Северо-Казахстанской области 9 апреля 2012 года N 13-3-155. Утратило силу решением маслихата Айыртауского района Северо-Казахстанской области от 29 января 2014 года N 5-22-1</w:t>
      </w:r>
    </w:p>
    <w:p>
      <w:pPr>
        <w:spacing w:after="0"/>
        <w:ind w:left="0"/>
        <w:jc w:val="both"/>
      </w:pPr>
      <w:r>
        <w:rPr>
          <w:rFonts w:ascii="Times New Roman"/>
          <w:b w:val="false"/>
          <w:i w:val="false"/>
          <w:color w:val="ff0000"/>
          <w:sz w:val="28"/>
        </w:rPr>
        <w:t xml:space="preserve">      Сноска. Утратило силу решением маслихата Айыртауского района Северо-Казахстанской области от 29.01.2014 </w:t>
      </w:r>
      <w:r>
        <w:rPr>
          <w:rFonts w:ascii="Times New Roman"/>
          <w:b w:val="false"/>
          <w:i w:val="false"/>
          <w:color w:val="ff0000"/>
          <w:sz w:val="28"/>
        </w:rPr>
        <w:t>N 5-22-1</w:t>
      </w:r>
    </w:p>
    <w:bookmarkStart w:name="z13"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 95-IV,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приравненных к ним», Стандартом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Айыртауского района:</w:t>
      </w:r>
      <w:r>
        <w:br/>
      </w:r>
      <w:r>
        <w:rPr>
          <w:rFonts w:ascii="Times New Roman"/>
          <w:b w:val="false"/>
          <w:i w:val="false"/>
          <w:color w:val="000000"/>
          <w:sz w:val="28"/>
        </w:rPr>
        <w:t>
      1) участникам и инвалидам Великой Отечественной войны и лицам, приравненным к ним для посещения бань и парикмахерских, в размере по 400 (четыреста) тенге ежемесячно;</w:t>
      </w:r>
      <w:r>
        <w:br/>
      </w:r>
      <w:r>
        <w:rPr>
          <w:rFonts w:ascii="Times New Roman"/>
          <w:b w:val="false"/>
          <w:i w:val="false"/>
          <w:color w:val="000000"/>
          <w:sz w:val="28"/>
        </w:rPr>
        <w:t>
</w:t>
      </w:r>
      <w:r>
        <w:rPr>
          <w:rFonts w:ascii="Times New Roman"/>
          <w:b w:val="false"/>
          <w:i w:val="false"/>
          <w:color w:val="000000"/>
          <w:sz w:val="28"/>
        </w:rPr>
        <w:t>
      2) гражданам, больным активным туберкулезом для обеспечения дополнительного питания в размере по 600 (шестьсот) тенге ежемесячно;</w:t>
      </w:r>
      <w:r>
        <w:br/>
      </w:r>
      <w:r>
        <w:rPr>
          <w:rFonts w:ascii="Times New Roman"/>
          <w:b w:val="false"/>
          <w:i w:val="false"/>
          <w:color w:val="000000"/>
          <w:sz w:val="28"/>
        </w:rPr>
        <w:t>
      3)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на зубопротезирование, которое осуществляется медицинской организацией, имеющей лицензию на зубопротезирование, один раз в год, согласно предоставленных счетов-фактур в размере стоимости зубопротезирования (кроме драгоценных металлов и протезов из металлокерамики, металлоакрилла);</w:t>
      </w:r>
      <w:r>
        <w:br/>
      </w:r>
      <w:r>
        <w:rPr>
          <w:rFonts w:ascii="Times New Roman"/>
          <w:b w:val="false"/>
          <w:i w:val="false"/>
          <w:color w:val="000000"/>
          <w:sz w:val="28"/>
        </w:rPr>
        <w:t>
</w:t>
      </w:r>
      <w:r>
        <w:rPr>
          <w:rFonts w:ascii="Times New Roman"/>
          <w:b w:val="false"/>
          <w:i w:val="false"/>
          <w:color w:val="000000"/>
          <w:sz w:val="28"/>
        </w:rPr>
        <w:t>
      4) участникам и инвалидам Великой Отечественной войны для оплаты расходов на коммунальные услуги в размере 4 (четырех) месячных расчетных показателей, ежемесячно;</w:t>
      </w:r>
      <w:r>
        <w:br/>
      </w:r>
      <w:r>
        <w:rPr>
          <w:rFonts w:ascii="Times New Roman"/>
          <w:b w:val="false"/>
          <w:i w:val="false"/>
          <w:color w:val="000000"/>
          <w:sz w:val="28"/>
        </w:rPr>
        <w:t>
</w:t>
      </w:r>
      <w:r>
        <w:rPr>
          <w:rFonts w:ascii="Times New Roman"/>
          <w:b w:val="false"/>
          <w:i w:val="false"/>
          <w:color w:val="000000"/>
          <w:sz w:val="28"/>
        </w:rPr>
        <w:t>
      5) участникам, инвалидам Великой Отечественной войны и лицам, приравненным к ним, другим категориям лиц, приравненным по льготам и гарантиям к участникам войны, инвалидам всех категорий,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на санаторно-курортное лечение один раз в год, в размере стоимости путевки;</w:t>
      </w:r>
      <w:r>
        <w:br/>
      </w:r>
      <w:r>
        <w:rPr>
          <w:rFonts w:ascii="Times New Roman"/>
          <w:b w:val="false"/>
          <w:i w:val="false"/>
          <w:color w:val="000000"/>
          <w:sz w:val="28"/>
        </w:rPr>
        <w:t>
</w:t>
      </w:r>
      <w:r>
        <w:rPr>
          <w:rFonts w:ascii="Times New Roman"/>
          <w:b w:val="false"/>
          <w:i w:val="false"/>
          <w:color w:val="000000"/>
          <w:sz w:val="28"/>
        </w:rPr>
        <w:t>
      6) студентам из малообеспеченных семей на обучение один раз в год, в размере стоимости обучения за текущий учебный год.</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и лицам, приравненным к ним, назначается с месяца подачи заявления и прекращается в связи со смертью заявителя или его выбытия за пределы Айыртауского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w:t>
      </w:r>
      <w:r>
        <w:rPr>
          <w:rFonts w:ascii="Times New Roman"/>
          <w:b w:val="false"/>
          <w:i w:val="false"/>
          <w:color w:val="000000"/>
          <w:sz w:val="28"/>
        </w:rPr>
        <w:t>
      2) социальные выплаты из бюджета района осуществляются путем пере-числения денежных средств на лицевой счет получателя социальной помощи через банки второго уровня либо филиал акционерного общества «Казпочта» согласно спискам, представленным государственным учреждением «Отдел занятости и социальных программ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3. Определить перечень необходимых документов для назначения социальной помощи отдельным категориям нуждающихся граждан согласно приложению</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4.Финансирование расходов на оказание социальной помощи производить за счет средств местного бюджета, предусмотренных на эти цели в финансовом году по программе 451.007.000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w:t>
      </w:r>
    </w:p>
    <w:bookmarkEnd w:id="0"/>
    <w:p>
      <w:pPr>
        <w:spacing w:after="0"/>
        <w:ind w:left="0"/>
        <w:jc w:val="both"/>
      </w:pPr>
      <w:r>
        <w:rPr>
          <w:rFonts w:ascii="Times New Roman"/>
          <w:b w:val="false"/>
          <w:i/>
          <w:color w:val="000000"/>
          <w:sz w:val="28"/>
        </w:rPr>
        <w:t xml:space="preserve">      Председатель II сессии </w:t>
      </w:r>
      <w:r>
        <w:br/>
      </w:r>
      <w:r>
        <w:rPr>
          <w:rFonts w:ascii="Times New Roman"/>
          <w:b w:val="false"/>
          <w:i w:val="false"/>
          <w:color w:val="000000"/>
          <w:sz w:val="28"/>
        </w:rPr>
        <w:t>
</w:t>
      </w:r>
      <w:r>
        <w:rPr>
          <w:rFonts w:ascii="Times New Roman"/>
          <w:b w:val="false"/>
          <w:i/>
          <w:color w:val="000000"/>
          <w:sz w:val="28"/>
        </w:rPr>
        <w:t>      районного маслихата                        С. Пономарев</w:t>
      </w:r>
    </w:p>
    <w:p>
      <w:pPr>
        <w:spacing w:after="0"/>
        <w:ind w:left="0"/>
        <w:jc w:val="both"/>
      </w:pPr>
      <w:r>
        <w:rPr>
          <w:rFonts w:ascii="Times New Roman"/>
          <w:b w:val="false"/>
          <w:i/>
          <w:color w:val="000000"/>
          <w:sz w:val="28"/>
        </w:rPr>
        <w:t>      Секретарь районного маслихата              Р. Тлеубаева</w:t>
      </w:r>
    </w:p>
    <w:p>
      <w:pPr>
        <w:spacing w:after="0"/>
        <w:ind w:left="0"/>
        <w:jc w:val="both"/>
      </w:pPr>
      <w:r>
        <w:rPr>
          <w:rFonts w:ascii="Times New Roman"/>
          <w:b w:val="false"/>
          <w:i/>
          <w:color w:val="000000"/>
          <w:sz w:val="28"/>
        </w:rPr>
        <w:t>      СОГЛАСОВАНО: 7 марта 2012 года</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 программ</w:t>
      </w:r>
      <w:r>
        <w:br/>
      </w:r>
      <w:r>
        <w:rPr>
          <w:rFonts w:ascii="Times New Roman"/>
          <w:b w:val="false"/>
          <w:i w:val="false"/>
          <w:color w:val="000000"/>
          <w:sz w:val="28"/>
        </w:rPr>
        <w:t>
</w:t>
      </w:r>
      <w:r>
        <w:rPr>
          <w:rFonts w:ascii="Times New Roman"/>
          <w:b w:val="false"/>
          <w:i/>
          <w:color w:val="000000"/>
          <w:sz w:val="28"/>
        </w:rPr>
        <w:t>      Айыртауского района»                       Е. Казбеков</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экономики и финансов</w:t>
      </w:r>
      <w:r>
        <w:br/>
      </w:r>
      <w:r>
        <w:rPr>
          <w:rFonts w:ascii="Times New Roman"/>
          <w:b w:val="false"/>
          <w:i w:val="false"/>
          <w:color w:val="000000"/>
          <w:sz w:val="28"/>
        </w:rPr>
        <w:t>
</w:t>
      </w:r>
      <w:r>
        <w:rPr>
          <w:rFonts w:ascii="Times New Roman"/>
          <w:b w:val="false"/>
          <w:i/>
          <w:color w:val="000000"/>
          <w:sz w:val="28"/>
        </w:rPr>
        <w:t>      Айыртауского района»                       М. Рамазанова</w:t>
      </w:r>
    </w:p>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7 марта 2012 года № 5-2-2</w:t>
      </w:r>
    </w:p>
    <w:bookmarkStart w:name="z11" w:id="1"/>
    <w:p>
      <w:pPr>
        <w:spacing w:after="0"/>
        <w:ind w:left="0"/>
        <w:jc w:val="left"/>
      </w:pPr>
      <w:r>
        <w:rPr>
          <w:rFonts w:ascii="Times New Roman"/>
          <w:b/>
          <w:i w:val="false"/>
          <w:color w:val="000000"/>
        </w:rPr>
        <w:t xml:space="preserve"> 
Перечень</w:t>
      </w:r>
      <w:r>
        <w:br/>
      </w:r>
      <w:r>
        <w:rPr>
          <w:rFonts w:ascii="Times New Roman"/>
          <w:b/>
          <w:i w:val="false"/>
          <w:color w:val="000000"/>
        </w:rPr>
        <w:t>
необходимых документов для назначения социальной помощиотдельным категориям нуждающихся граждан Айыртауского района</w:t>
      </w:r>
    </w:p>
    <w:bookmarkEnd w:id="1"/>
    <w:bookmarkStart w:name="z12" w:id="2"/>
    <w:p>
      <w:pPr>
        <w:spacing w:after="0"/>
        <w:ind w:left="0"/>
        <w:jc w:val="both"/>
      </w:pPr>
      <w:r>
        <w:rPr>
          <w:rFonts w:ascii="Times New Roman"/>
          <w:b w:val="false"/>
          <w:i w:val="false"/>
          <w:color w:val="000000"/>
          <w:sz w:val="28"/>
        </w:rPr>
        <w:t>      1. Документы, необходимые для назначения социальной помощи:</w:t>
      </w:r>
      <w:r>
        <w:br/>
      </w:r>
      <w:r>
        <w:rPr>
          <w:rFonts w:ascii="Times New Roman"/>
          <w:b w:val="false"/>
          <w:i w:val="false"/>
          <w:color w:val="000000"/>
          <w:sz w:val="28"/>
        </w:rPr>
        <w:t>
      заявление лица, обратившегося за социальной помощью (далее-заявитель);</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удостоверения инвалида, участника Великой Отечественной войны или лица, приравненного к ним;</w:t>
      </w:r>
      <w:r>
        <w:br/>
      </w:r>
      <w:r>
        <w:rPr>
          <w:rFonts w:ascii="Times New Roman"/>
          <w:b w:val="false"/>
          <w:i w:val="false"/>
          <w:color w:val="000000"/>
          <w:sz w:val="28"/>
        </w:rPr>
        <w:t>
      копия лицевого счета заявителя;</w:t>
      </w:r>
      <w:r>
        <w:br/>
      </w:r>
      <w:r>
        <w:rPr>
          <w:rFonts w:ascii="Times New Roman"/>
          <w:b w:val="false"/>
          <w:i w:val="false"/>
          <w:color w:val="000000"/>
          <w:sz w:val="28"/>
        </w:rPr>
        <w:t>
      копия документа, подтверждающего место жительства заявителя;</w:t>
      </w:r>
      <w:r>
        <w:br/>
      </w:r>
      <w:r>
        <w:rPr>
          <w:rFonts w:ascii="Times New Roman"/>
          <w:b w:val="false"/>
          <w:i w:val="false"/>
          <w:color w:val="000000"/>
          <w:sz w:val="28"/>
        </w:rPr>
        <w:t>
      справка с территориального медицинского учреждения о том, что заявитель состоит на диспансерном учете по активной группе – при оказании социальной помощи для обеспечения дополнительным питанием граждан, больных активным туберкулезом;</w:t>
      </w:r>
      <w:r>
        <w:br/>
      </w:r>
      <w:r>
        <w:rPr>
          <w:rFonts w:ascii="Times New Roman"/>
          <w:b w:val="false"/>
          <w:i w:val="false"/>
          <w:color w:val="000000"/>
          <w:sz w:val="28"/>
        </w:rPr>
        <w:t>
      при оказании социальной помощи на зубопротезирование и санаторно-курортное лечение, счет-фактура от медицинской организации о стоимости оказанных услуг;</w:t>
      </w:r>
      <w:r>
        <w:br/>
      </w:r>
      <w:r>
        <w:rPr>
          <w:rFonts w:ascii="Times New Roman"/>
          <w:b w:val="false"/>
          <w:i w:val="false"/>
          <w:color w:val="000000"/>
          <w:sz w:val="28"/>
        </w:rPr>
        <w:t>
      санаторно-курортная карта о необходимости в санаторно-курортном лечении;</w:t>
      </w:r>
      <w:r>
        <w:br/>
      </w:r>
      <w:r>
        <w:rPr>
          <w:rFonts w:ascii="Times New Roman"/>
          <w:b w:val="false"/>
          <w:i w:val="false"/>
          <w:color w:val="000000"/>
          <w:sz w:val="28"/>
        </w:rPr>
        <w:t>
      справка из Государственного центра по выплате пенсии о подтверждении статуса получателя специального государственного пособия;</w:t>
      </w:r>
      <w:r>
        <w:br/>
      </w:r>
      <w:r>
        <w:rPr>
          <w:rFonts w:ascii="Times New Roman"/>
          <w:b w:val="false"/>
          <w:i w:val="false"/>
          <w:color w:val="000000"/>
          <w:sz w:val="28"/>
        </w:rPr>
        <w:t>
      документ, подтверждающий место учебы и размер оплаты обучения за учебный год, выданный соответствующим учебным заведением.</w:t>
      </w:r>
      <w:r>
        <w:br/>
      </w:r>
      <w:r>
        <w:rPr>
          <w:rFonts w:ascii="Times New Roman"/>
          <w:b w:val="false"/>
          <w:i w:val="false"/>
          <w:color w:val="000000"/>
          <w:sz w:val="28"/>
        </w:rPr>
        <w:t>
      2. В день приема полного пакета документов оригиналы после сверки возвращаются заявителю, а копии документов заверяются и формируются в дело.</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