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bac2" w14:textId="95bb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26 декабря 2012 года N 2717. Зарегистрировано Департаментом юстиции Северо-Казахстанской области 1 февраля 2013 года N 2144. Утратило силу постановлением акимата города Петропавловска Северо-Казахстанской области от 27 мая 2013 года N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города Петропавловска Северо-Казахстанской области от 27.05.2013 N 980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города Петропавловска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Есжанова Т.К., начальника государственного учреждения «Отдел жилищно-коммунального хозяйства, пассажирского транспорта и автомобильных дорог города Петропавловска» Хайнетова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2012 года N 2717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электронная государственная услуга) оказывается государственным учреждением «Отдел жилищно-коммунального хозяйства, пассажирского транспорта и автомобильных дорог города Петропавловска» (далее – уполномоченный орган/услугодатель), а также на альтернативной основе через центр обслуживания населения (далее - Центр) или веб-портал «электронного правительства» www.e.gov.kz (далее - ПЭП), при условии наличия у Заявителя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фонде», утвержденного постановлением Правительства Республики Казахстан от 8 февраля 2010 года № 76 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 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аппаратно–программный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государственной услуги – граждане Республики Казахстан,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Центр (диаграмма № 3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оператора Центра в АРМ ИС Центр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 государственной услуги)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 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УО/Центр.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373"/>
        <w:gridCol w:w="1311"/>
        <w:gridCol w:w="1311"/>
        <w:gridCol w:w="1343"/>
        <w:gridCol w:w="1343"/>
        <w:gridCol w:w="1311"/>
        <w:gridCol w:w="1048"/>
        <w:gridCol w:w="1311"/>
        <w:gridCol w:w="109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163"/>
        <w:gridCol w:w="1399"/>
        <w:gridCol w:w="1211"/>
        <w:gridCol w:w="1247"/>
        <w:gridCol w:w="1221"/>
        <w:gridCol w:w="1673"/>
        <w:gridCol w:w="1078"/>
        <w:gridCol w:w="1247"/>
        <w:gridCol w:w="120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ЭЦП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минут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секунд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166"/>
        <w:gridCol w:w="1209"/>
        <w:gridCol w:w="1209"/>
        <w:gridCol w:w="1147"/>
        <w:gridCol w:w="1137"/>
        <w:gridCol w:w="1115"/>
        <w:gridCol w:w="1073"/>
        <w:gridCol w:w="1052"/>
        <w:gridCol w:w="1115"/>
        <w:gridCol w:w="111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82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электронной государственной услуги через услугодателя </w:t>
      </w:r>
      <w:r>
        <w:drawing>
          <wp:inline distT="0" distB="0" distL="0" distR="0">
            <wp:extent cx="124079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Диаграмма № 3 функционального взаимодействия при оказании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190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890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84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