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da3f" w14:textId="447d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16 ноября 2012 года N 2383. Зарегистрировано Департаментом юстиции Северо-Казахстанской области 25 декабря 2012 года N 2034. Утратило силу постановлением акимата города Петропавловска Северо-Казахстанской области от 27 мая 2013 года N 980</w:t>
      </w:r>
    </w:p>
    <w:p>
      <w:pPr>
        <w:spacing w:after="0"/>
        <w:ind w:left="0"/>
        <w:jc w:val="both"/>
      </w:pPr>
      <w:r>
        <w:rPr>
          <w:rFonts w:ascii="Times New Roman"/>
          <w:b w:val="false"/>
          <w:i w:val="false"/>
          <w:color w:val="ff0000"/>
          <w:sz w:val="28"/>
        </w:rPr>
        <w:t>      Сноска. Утратило силу постановлением акимата города Петропавловска Северо-Казахстанской области от 27.05.2013 N 980</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Есжанова Т.К. и начальника ГУ «Отдел занятости и социальных программ города Петропавловска» Мухамедьярова М.Т.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Б. Жумабеков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16 ноября 2012 года № 2383</w:t>
      </w:r>
    </w:p>
    <w:bookmarkEnd w:id="1"/>
    <w:bookmarkStart w:name="z6" w:id="2"/>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города Петропавловска»;</w:t>
      </w:r>
      <w:r>
        <w:br/>
      </w:r>
      <w:r>
        <w:rPr>
          <w:rFonts w:ascii="Times New Roman"/>
          <w:b w:val="false"/>
          <w:i w:val="false"/>
          <w:color w:val="000000"/>
          <w:sz w:val="28"/>
        </w:rPr>
        <w:t>
      2) получатель государственной услуги – физические лица: граждане Республики Казахстан, оралманы, иностранцы и лица без гражданства, постоянно проживающие на территории Республики Казахстан.</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занятости и социальных программ города Петропавловска» - (далее уполномоченный орган).</w:t>
      </w:r>
      <w:r>
        <w:br/>
      </w:r>
      <w:r>
        <w:rPr>
          <w:rFonts w:ascii="Times New Roman"/>
          <w:b w:val="false"/>
          <w:i w:val="false"/>
          <w:color w:val="000000"/>
          <w:sz w:val="28"/>
        </w:rPr>
        <w:t>
      Государственная услуга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«Выдачу направлений лицам на общественные работы»;</w:t>
      </w:r>
      <w:r>
        <w:br/>
      </w:r>
      <w:r>
        <w:rPr>
          <w:rFonts w:ascii="Times New Roman"/>
          <w:b w:val="false"/>
          <w:i w:val="false"/>
          <w:color w:val="000000"/>
          <w:sz w:val="28"/>
        </w:rPr>
        <w:t>
      «Выдачу направлений лицам для трудоустройства на социальное рабочее место»;</w:t>
      </w:r>
      <w:r>
        <w:br/>
      </w:r>
      <w:r>
        <w:rPr>
          <w:rFonts w:ascii="Times New Roman"/>
          <w:b w:val="false"/>
          <w:i w:val="false"/>
          <w:color w:val="000000"/>
          <w:sz w:val="28"/>
        </w:rPr>
        <w:t>
      «Выдачу направлений лицам для трудоустройства»;</w:t>
      </w:r>
      <w:r>
        <w:br/>
      </w:r>
      <w:r>
        <w:rPr>
          <w:rFonts w:ascii="Times New Roman"/>
          <w:b w:val="false"/>
          <w:i w:val="false"/>
          <w:color w:val="000000"/>
          <w:sz w:val="28"/>
        </w:rPr>
        <w:t>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Настоящий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на территории Республики Казахстан (далее – получатели).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стенде уполномоченного органа, адрес и график работы которого указан в </w:t>
      </w:r>
      <w:r>
        <w:rPr>
          <w:rFonts w:ascii="Times New Roman"/>
          <w:b w:val="false"/>
          <w:i w:val="false"/>
          <w:color w:val="000000"/>
          <w:sz w:val="28"/>
        </w:rPr>
        <w:t>приложении</w:t>
      </w:r>
      <w:r>
        <w:rPr>
          <w:rFonts w:ascii="Times New Roman"/>
          <w:b w:val="false"/>
          <w:i w:val="false"/>
          <w:color w:val="000000"/>
          <w:sz w:val="28"/>
          <w:u w:val="single"/>
        </w:rPr>
        <w:t> </w:t>
      </w:r>
      <w:r>
        <w:rPr>
          <w:rFonts w:ascii="Times New Roman"/>
          <w:b w:val="false"/>
          <w:i w:val="false"/>
          <w:color w:val="000000"/>
          <w:sz w:val="28"/>
        </w:rPr>
        <w:t>1 к настоящему Регламенту и на интернет-ресурсе уполномоченного органа petroozsp@sko.kz</w:t>
      </w:r>
    </w:p>
    <w:bookmarkEnd w:id="6"/>
    <w:bookmarkStart w:name="z17"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8" w:id="8"/>
    <w:p>
      <w:pPr>
        <w:spacing w:after="0"/>
        <w:ind w:left="0"/>
        <w:jc w:val="both"/>
      </w:pPr>
      <w:r>
        <w:rPr>
          <w:rFonts w:ascii="Times New Roman"/>
          <w:b w:val="false"/>
          <w:i w:val="false"/>
          <w:color w:val="000000"/>
          <w:sz w:val="28"/>
        </w:rPr>
        <w:t>
      9. Cроки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не более тридцати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 не более тридцати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 не более тридцати минут.</w:t>
      </w:r>
      <w:r>
        <w:br/>
      </w:r>
      <w:r>
        <w:rPr>
          <w:rFonts w:ascii="Times New Roman"/>
          <w:b w:val="false"/>
          <w:i w:val="false"/>
          <w:color w:val="000000"/>
          <w:sz w:val="28"/>
        </w:rPr>
        <w:t>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отсутствие регистрации получателя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оказания государственной услуги:</w:t>
      </w:r>
      <w:r>
        <w:br/>
      </w:r>
      <w:r>
        <w:rPr>
          <w:rFonts w:ascii="Times New Roman"/>
          <w:b w:val="false"/>
          <w:i w:val="false"/>
          <w:color w:val="000000"/>
          <w:sz w:val="28"/>
        </w:rPr>
        <w:t>
      1) получатель государственной услуги сдает перечень необходимых документов на предоставление государственной услуги специалисту уполномоченного органа;</w:t>
      </w:r>
      <w:r>
        <w:br/>
      </w:r>
      <w:r>
        <w:rPr>
          <w:rFonts w:ascii="Times New Roman"/>
          <w:b w:val="false"/>
          <w:i w:val="false"/>
          <w:color w:val="000000"/>
          <w:sz w:val="28"/>
        </w:rPr>
        <w:t>
      2) ответственный специалист уполномоченного органа осуществляет проверку полноты документов на определение права получателя государственной услуги на предоставление государственной услуги, осуществляет рассмотрение документов, вносит данные получателя в журнал учета лиц, обратившихся за содействием в трудоустройстве, подготавливает направление на участие в активных формах содействия занятости, либо оформляет мотивированный ответ об отказе и направляет руководителю уполномоченного органа для подписания;</w:t>
      </w:r>
      <w:r>
        <w:br/>
      </w:r>
      <w:r>
        <w:rPr>
          <w:rFonts w:ascii="Times New Roman"/>
          <w:b w:val="false"/>
          <w:i w:val="false"/>
          <w:color w:val="000000"/>
          <w:sz w:val="28"/>
        </w:rPr>
        <w:t>
      3) руководитель уполномоченного органа подписывает направление на участие в активных формах содействия занятости или мотивированный ответ об отказе и направляет ответственному специалисту уполномоченного органа.</w:t>
      </w:r>
      <w:r>
        <w:br/>
      </w:r>
      <w:r>
        <w:rPr>
          <w:rFonts w:ascii="Times New Roman"/>
          <w:b w:val="false"/>
          <w:i w:val="false"/>
          <w:color w:val="000000"/>
          <w:sz w:val="28"/>
        </w:rPr>
        <w:t>
      4) ответственный специалист уполномоченного органа регистрирует результат оказания государственной услуги в журнале учета лиц, обратившихся за содействием в трудоустройстве и выдает получателю направление на участие в активных формах занятости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5)документ, удостоверяющий профессиональную квалификацию (при наличии), а для лица, впервые ищущего работу, но не имеющего профессию (специальность) - документ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После сдачи всех необходимых документов получателю государственной услуги выдается в уполномоченном органе талон с указанием даты регистрации и получения заявителем государственной услуги, фамилии и инициалов лица, принявшего документы.</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
    <w:bookmarkStart w:name="z26"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7" w:id="12"/>
    <w:p>
      <w:pPr>
        <w:spacing w:after="0"/>
        <w:ind w:left="0"/>
        <w:jc w:val="both"/>
      </w:pPr>
      <w:r>
        <w:rPr>
          <w:rFonts w:ascii="Times New Roman"/>
          <w:b w:val="false"/>
          <w:i w:val="false"/>
          <w:color w:val="000000"/>
          <w:sz w:val="28"/>
        </w:rPr>
        <w:t>
      16. Ответственными лицами за оказание государственной услуги являются руководитель и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18.Получателю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
    <w:bookmarkStart w:name="z30" w:id="13"/>
    <w:p>
      <w:pPr>
        <w:spacing w:after="0"/>
        <w:ind w:left="0"/>
        <w:jc w:val="both"/>
      </w:pPr>
      <w:r>
        <w:rPr>
          <w:rFonts w:ascii="Times New Roman"/>
          <w:b w:val="false"/>
          <w:i w:val="false"/>
          <w:color w:val="000000"/>
          <w:sz w:val="28"/>
        </w:rPr>
        <w:t>
Приложение 1 к Регламенту</w:t>
      </w:r>
      <w:r>
        <w:br/>
      </w:r>
      <w:r>
        <w:rPr>
          <w:rFonts w:ascii="Times New Roman"/>
          <w:b w:val="false"/>
          <w:i w:val="false"/>
          <w:color w:val="000000"/>
          <w:sz w:val="28"/>
        </w:rPr>
        <w:t>
государственной услуги «Выдача</w:t>
      </w:r>
      <w:r>
        <w:br/>
      </w:r>
      <w:r>
        <w:rPr>
          <w:rFonts w:ascii="Times New Roman"/>
          <w:b w:val="false"/>
          <w:i w:val="false"/>
          <w:color w:val="000000"/>
          <w:sz w:val="28"/>
        </w:rPr>
        <w:t>
направлений лицам на участие в</w:t>
      </w:r>
      <w:r>
        <w:br/>
      </w:r>
      <w:r>
        <w:rPr>
          <w:rFonts w:ascii="Times New Roman"/>
          <w:b w:val="false"/>
          <w:i w:val="false"/>
          <w:color w:val="000000"/>
          <w:sz w:val="28"/>
        </w:rPr>
        <w:t>
активных формах содействия занятости»</w:t>
      </w:r>
    </w:p>
    <w:bookmarkEnd w:id="13"/>
    <w:p>
      <w:pPr>
        <w:spacing w:after="0"/>
        <w:ind w:left="0"/>
        <w:jc w:val="both"/>
      </w:pPr>
      <w:r>
        <w:rPr>
          <w:rFonts w:ascii="Times New Roman"/>
          <w:b w:val="false"/>
          <w:i w:val="false"/>
          <w:color w:val="000000"/>
          <w:sz w:val="28"/>
        </w:rPr>
        <w:t>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2669"/>
        <w:gridCol w:w="3747"/>
        <w:gridCol w:w="2081"/>
      </w:tblGrid>
      <w:tr>
        <w:trPr>
          <w:trHeight w:val="6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г.Петропавловска»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город Петропавловск, улица Казахстанской правды, 35 каб.15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13.00-14.00 обеденный перерыв, выходной-суббота и воскресенье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8-7152-53-29-12</w:t>
            </w:r>
            <w:r>
              <w:br/>
            </w:r>
            <w:r>
              <w:rPr>
                <w:rFonts w:ascii="Times New Roman"/>
                <w:b w:val="false"/>
                <w:i w:val="false"/>
                <w:color w:val="000000"/>
                <w:sz w:val="20"/>
              </w:rPr>
              <w:t>
petroozsp@sko.kz</w:t>
            </w:r>
          </w:p>
        </w:tc>
      </w:tr>
    </w:tbl>
    <w:bookmarkStart w:name="z31" w:id="14"/>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14"/>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32" w:id="15"/>
    <w:p>
      <w:pPr>
        <w:spacing w:after="0"/>
        <w:ind w:left="0"/>
        <w:jc w:val="left"/>
      </w:pPr>
      <w:r>
        <w:rPr>
          <w:rFonts w:ascii="Times New Roman"/>
          <w:b/>
          <w:i w:val="false"/>
          <w:color w:val="000000"/>
        </w:rPr>
        <w:t xml:space="preserve"> 
Таблица 1. Описание действий СФЕ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061"/>
        <w:gridCol w:w="4233"/>
        <w:gridCol w:w="4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66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9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5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осуществление проверки полноты документов, внесение данных получателя в журнал учета лиц, обратившихся за содействием в трудоустройстве, подготовка направления на участие в активных формах содействия занятости либо мотивированный ответ об отказе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и подписание документа. Направление ответственному специалисту на исполнение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получателю государственной услуги направления на участие в активных формах содействия занятости либо мотивированный ответ об отказе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минут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 минут</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направление или мотивированный ответ об отказе и направляет ответственному специалисту на исполнение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журнале учета лиц, обратившихся за содействием в трудоустройстве, результат оказания государственной услуги и выдает направление или мотивированный ответ об отказе получателю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минут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3" w:id="16"/>
    <w:p>
      <w:pPr>
        <w:spacing w:after="0"/>
        <w:ind w:left="0"/>
        <w:jc w:val="left"/>
      </w:pPr>
      <w:r>
        <w:rPr>
          <w:rFonts w:ascii="Times New Roman"/>
          <w:b/>
          <w:i w:val="false"/>
          <w:color w:val="000000"/>
        </w:rPr>
        <w:t xml:space="preserve"> 
Таблица 2. Варианты использования. Основной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4"/>
        <w:gridCol w:w="6226"/>
      </w:tblGrid>
      <w:tr>
        <w:trPr>
          <w:trHeight w:val="30"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3555"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вносит данные получателя государственной услуги в журнал учета лиц, обратившихся за содействием в трудоустройстве и подготавливает направление, направляет руководителю уполномоченного органа для подписания</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Подписывает направление или мотивированный ответ об отказе и направляет ответственному специалисту на исполнение</w:t>
            </w:r>
          </w:p>
        </w:tc>
      </w:tr>
      <w:tr>
        <w:trPr>
          <w:trHeight w:val="330" w:hRule="atLeast"/>
        </w:trPr>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p>
            <w:pPr>
              <w:spacing w:after="20"/>
              <w:ind w:left="20"/>
              <w:jc w:val="both"/>
            </w:pPr>
            <w:r>
              <w:rPr>
                <w:rFonts w:ascii="Times New Roman"/>
                <w:b w:val="false"/>
                <w:i w:val="false"/>
                <w:color w:val="000000"/>
                <w:sz w:val="20"/>
              </w:rPr>
              <w:t>Регистрирует результат оказания государственной услуги в журнале учета лиц, обратившихся за содействием в трудоустройстве и выдает получателю государственной услуги мотивированный ответ об отказе.</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Приложение 3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17"/>
    <w:bookmarkStart w:name="z35" w:id="1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18"/>
    <w:p>
      <w:pPr>
        <w:spacing w:after="0"/>
        <w:ind w:left="0"/>
        <w:jc w:val="both"/>
      </w:pPr>
      <w:r>
        <w:drawing>
          <wp:inline distT="0" distB="0" distL="0" distR="0">
            <wp:extent cx="75819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63881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16 ноября 2012 года № 2383</w:t>
      </w:r>
    </w:p>
    <w:bookmarkEnd w:id="19"/>
    <w:bookmarkStart w:name="z37" w:id="20"/>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20"/>
    <w:bookmarkStart w:name="z38" w:id="21"/>
    <w:p>
      <w:pPr>
        <w:spacing w:after="0"/>
        <w:ind w:left="0"/>
        <w:jc w:val="left"/>
      </w:pPr>
      <w:r>
        <w:rPr>
          <w:rFonts w:ascii="Times New Roman"/>
          <w:b/>
          <w:i w:val="false"/>
          <w:color w:val="000000"/>
        </w:rPr>
        <w:t xml:space="preserve"> 
1. Основные понятия</w:t>
      </w:r>
    </w:p>
    <w:bookmarkEnd w:id="21"/>
    <w:bookmarkStart w:name="z39" w:id="2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города Петропавловска»;</w:t>
      </w:r>
      <w:r>
        <w:br/>
      </w:r>
      <w:r>
        <w:rPr>
          <w:rFonts w:ascii="Times New Roman"/>
          <w:b w:val="false"/>
          <w:i w:val="false"/>
          <w:color w:val="000000"/>
          <w:sz w:val="28"/>
        </w:rPr>
        <w:t>
      2) получатели государственной услуги – физические лица получатели государственной адресной социальной помощи.</w:t>
      </w:r>
    </w:p>
    <w:bookmarkEnd w:id="22"/>
    <w:bookmarkStart w:name="z40" w:id="23"/>
    <w:p>
      <w:pPr>
        <w:spacing w:after="0"/>
        <w:ind w:left="0"/>
        <w:jc w:val="left"/>
      </w:pPr>
      <w:r>
        <w:rPr>
          <w:rFonts w:ascii="Times New Roman"/>
          <w:b/>
          <w:i w:val="false"/>
          <w:color w:val="000000"/>
        </w:rPr>
        <w:t xml:space="preserve"> 
2. Общие положения</w:t>
      </w:r>
    </w:p>
    <w:bookmarkEnd w:id="23"/>
    <w:bookmarkStart w:name="z41" w:id="24"/>
    <w:p>
      <w:pPr>
        <w:spacing w:after="0"/>
        <w:ind w:left="0"/>
        <w:jc w:val="both"/>
      </w:pPr>
      <w:r>
        <w:rPr>
          <w:rFonts w:ascii="Times New Roman"/>
          <w:b w:val="false"/>
          <w:i w:val="false"/>
          <w:color w:val="000000"/>
          <w:sz w:val="28"/>
        </w:rPr>
        <w:t>
      2. Настоящий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ГУ «Отдел занятости и социальных программ города Петропавловска», расположенного по адресу улица Казахстанской правды 35, адрес электронной почты: petroozsp@sko.kz, телефон 8(7152)53-27-60, кабинет № 19.</w:t>
      </w:r>
      <w:r>
        <w:br/>
      </w:r>
      <w:r>
        <w:rPr>
          <w:rFonts w:ascii="Times New Roman"/>
          <w:b w:val="false"/>
          <w:i w:val="false"/>
          <w:color w:val="000000"/>
          <w:sz w:val="28"/>
        </w:rPr>
        <w:t>
      График работы уполномоченного органа: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Правил</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постановлением Правительства Республики Казахстан от 25 января 2008 года № 64.</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p>
    <w:bookmarkEnd w:id="24"/>
    <w:bookmarkStart w:name="z47" w:id="25"/>
    <w:p>
      <w:pPr>
        <w:spacing w:after="0"/>
        <w:ind w:left="0"/>
        <w:jc w:val="left"/>
      </w:pPr>
      <w:r>
        <w:rPr>
          <w:rFonts w:ascii="Times New Roman"/>
          <w:b/>
          <w:i w:val="false"/>
          <w:color w:val="000000"/>
        </w:rPr>
        <w:t xml:space="preserve"> 
3.Требования к порядку оказания государственной услуги</w:t>
      </w:r>
    </w:p>
    <w:bookmarkEnd w:id="25"/>
    <w:bookmarkStart w:name="z48" w:id="26"/>
    <w:p>
      <w:pPr>
        <w:spacing w:after="0"/>
        <w:ind w:left="0"/>
        <w:jc w:val="both"/>
      </w:pPr>
      <w:r>
        <w:rPr>
          <w:rFonts w:ascii="Times New Roman"/>
          <w:b w:val="false"/>
          <w:i w:val="false"/>
          <w:color w:val="000000"/>
          <w:sz w:val="28"/>
        </w:rPr>
        <w:t>
      8. Информацию по вопросам оказания государственной услуги, о ходе оказания государственной услуги можно получить в уполномоченном органе адреса и график работы, которых указаны в </w:t>
      </w:r>
      <w:r>
        <w:rPr>
          <w:rFonts w:ascii="Times New Roman"/>
          <w:b w:val="false"/>
          <w:i w:val="false"/>
          <w:color w:val="000000"/>
          <w:sz w:val="28"/>
        </w:rPr>
        <w:t>пункте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помещении уполномоченного органа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11. Для получения государственной услуги получатели государственной услуги предъявляют в уполномоченный орган следующие документы:</w:t>
      </w:r>
      <w:r>
        <w:br/>
      </w:r>
      <w:r>
        <w:rPr>
          <w:rFonts w:ascii="Times New Roman"/>
          <w:b w:val="false"/>
          <w:i w:val="false"/>
          <w:color w:val="000000"/>
          <w:sz w:val="28"/>
        </w:rPr>
        <w:t>
      1)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Форма заявления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размещается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юридический адрес, телефон которого указан в </w:t>
      </w:r>
      <w:r>
        <w:rPr>
          <w:rFonts w:ascii="Times New Roman"/>
          <w:b w:val="false"/>
          <w:i w:val="false"/>
          <w:color w:val="000000"/>
          <w:sz w:val="28"/>
        </w:rPr>
        <w:t>пункте 3</w:t>
      </w:r>
      <w:r>
        <w:rPr>
          <w:rFonts w:ascii="Times New Roman"/>
          <w:b w:val="false"/>
          <w:i w:val="false"/>
          <w:color w:val="000000"/>
          <w:sz w:val="28"/>
        </w:rPr>
        <w:t xml:space="preserve"> настоящего Регламента.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15.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16.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p>
    <w:bookmarkEnd w:id="26"/>
    <w:bookmarkStart w:name="z57" w:id="2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7"/>
    <w:bookmarkStart w:name="z58" w:id="28"/>
    <w:p>
      <w:pPr>
        <w:spacing w:after="0"/>
        <w:ind w:left="0"/>
        <w:jc w:val="both"/>
      </w:pPr>
      <w:r>
        <w:rPr>
          <w:rFonts w:ascii="Times New Roman"/>
          <w:b w:val="false"/>
          <w:i w:val="false"/>
          <w:color w:val="000000"/>
          <w:sz w:val="28"/>
        </w:rPr>
        <w:t>
      17.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28"/>
    <w:bookmarkStart w:name="z61" w:id="2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9"/>
    <w:bookmarkStart w:name="z62" w:id="30"/>
    <w:p>
      <w:pPr>
        <w:spacing w:after="0"/>
        <w:ind w:left="0"/>
        <w:jc w:val="both"/>
      </w:pPr>
      <w:r>
        <w:rPr>
          <w:rFonts w:ascii="Times New Roman"/>
          <w:b w:val="false"/>
          <w:i w:val="false"/>
          <w:color w:val="000000"/>
          <w:sz w:val="28"/>
        </w:rPr>
        <w:t>
      20.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аппарата Акима области, номера кабинета которого указан на информационном стенде уполномоченного органа, аппарата акима области, график работы, юридический адрес, телефон которых указаны в </w:t>
      </w:r>
      <w:r>
        <w:rPr>
          <w:rFonts w:ascii="Times New Roman"/>
          <w:b w:val="false"/>
          <w:i w:val="false"/>
          <w:color w:val="000000"/>
          <w:sz w:val="28"/>
        </w:rPr>
        <w:t>пункте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Получатели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0"/>
    <w:bookmarkStart w:name="z64" w:id="31"/>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1"/>
    <w:p>
      <w:pPr>
        <w:spacing w:after="0"/>
        <w:ind w:left="0"/>
        <w:jc w:val="both"/>
      </w:pPr>
      <w:r>
        <w:rPr>
          <w:rFonts w:ascii="Times New Roman"/>
          <w:b w:val="false"/>
          <w:i w:val="false"/>
          <w:color w:val="000000"/>
          <w:sz w:val="28"/>
        </w:rPr>
        <w:t>В уполномоченный орган</w:t>
      </w:r>
      <w:r>
        <w:br/>
      </w:r>
      <w:r>
        <w:rPr>
          <w:rFonts w:ascii="Times New Roman"/>
          <w:b w:val="false"/>
          <w:i w:val="false"/>
          <w:color w:val="000000"/>
          <w:sz w:val="28"/>
        </w:rPr>
        <w:t>
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 _______ выдано</w:t>
      </w:r>
      <w:r>
        <w:br/>
      </w:r>
      <w:r>
        <w:rPr>
          <w:rFonts w:ascii="Times New Roman"/>
          <w:b w:val="false"/>
          <w:i w:val="false"/>
          <w:color w:val="000000"/>
          <w:sz w:val="28"/>
        </w:rPr>
        <w:t>
_____________________________________</w:t>
      </w:r>
      <w:r>
        <w:br/>
      </w:r>
      <w:r>
        <w:rPr>
          <w:rFonts w:ascii="Times New Roman"/>
          <w:b w:val="false"/>
          <w:i w:val="false"/>
          <w:color w:val="000000"/>
          <w:sz w:val="28"/>
        </w:rPr>
        <w:t>
дата выдачи 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20___ года.</w:t>
      </w:r>
      <w:r>
        <w:br/>
      </w: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«____» __________ 20___ г.</w:t>
      </w:r>
      <w:r>
        <w:br/>
      </w:r>
      <w:r>
        <w:rPr>
          <w:rFonts w:ascii="Times New Roman"/>
          <w:b w:val="false"/>
          <w:i w:val="false"/>
          <w:color w:val="000000"/>
          <w:sz w:val="28"/>
        </w:rPr>
        <w:t>
________________________</w:t>
      </w:r>
      <w:r>
        <w:br/>
      </w:r>
      <w:r>
        <w:rPr>
          <w:rFonts w:ascii="Times New Roman"/>
          <w:b w:val="false"/>
          <w:i w:val="false"/>
          <w:color w:val="000000"/>
          <w:sz w:val="28"/>
        </w:rPr>
        <w:t>
(подпись заявителя)</w:t>
      </w:r>
    </w:p>
    <w:bookmarkStart w:name="z65" w:id="32"/>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2"/>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 регистрационный номер ______________ в том, что он (а) действительно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r>
        <w:br/>
      </w:r>
      <w:r>
        <w:rPr>
          <w:rFonts w:ascii="Times New Roman"/>
          <w:b w:val="false"/>
          <w:i w:val="false"/>
          <w:color w:val="000000"/>
          <w:sz w:val="28"/>
        </w:rPr>
        <w:t>
      Начальник уполномоченного органа</w:t>
      </w:r>
    </w:p>
    <w:bookmarkStart w:name="z66" w:id="33"/>
    <w:p>
      <w:pPr>
        <w:spacing w:after="0"/>
        <w:ind w:left="0"/>
        <w:jc w:val="both"/>
      </w:pPr>
      <w:r>
        <w:rPr>
          <w:rFonts w:ascii="Times New Roman"/>
          <w:b w:val="false"/>
          <w:i w:val="false"/>
          <w:color w:val="000000"/>
          <w:sz w:val="28"/>
        </w:rPr>
        <w:t>
Приложение 3 к Регламенту государственной</w:t>
      </w:r>
      <w:r>
        <w:br/>
      </w:r>
      <w:r>
        <w:rPr>
          <w:rFonts w:ascii="Times New Roman"/>
          <w:b w:val="false"/>
          <w:i w:val="false"/>
          <w:color w:val="000000"/>
          <w:sz w:val="28"/>
        </w:rPr>
        <w:t>
услуги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3"/>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67" w:id="34"/>
    <w:p>
      <w:pPr>
        <w:spacing w:after="0"/>
        <w:ind w:left="0"/>
        <w:jc w:val="left"/>
      </w:pPr>
      <w:r>
        <w:rPr>
          <w:rFonts w:ascii="Times New Roman"/>
          <w:b/>
          <w:i w:val="false"/>
          <w:color w:val="000000"/>
        </w:rPr>
        <w:t xml:space="preserve"> 
Таблица 1. Описание действий СФЕ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346"/>
        <w:gridCol w:w="40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w:t>
            </w:r>
          </w:p>
        </w:tc>
      </w:tr>
      <w:tr>
        <w:trPr>
          <w:trHeight w:val="58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проверка документов и регистрация</w:t>
            </w:r>
            <w:r>
              <w:br/>
            </w:r>
            <w:r>
              <w:rPr>
                <w:rFonts w:ascii="Times New Roman"/>
                <w:b w:val="false"/>
                <w:i w:val="false"/>
                <w:color w:val="000000"/>
                <w:sz w:val="20"/>
              </w:rPr>
              <w:t>
в журнале</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и наложение резолюции</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для рассмотрения руководителю уполномоченного органа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p>
            <w:pPr>
              <w:spacing w:after="20"/>
              <w:ind w:left="20"/>
              <w:jc w:val="both"/>
            </w:pPr>
            <w:r>
              <w:rPr>
                <w:rFonts w:ascii="Times New Roman"/>
                <w:b w:val="false"/>
                <w:i w:val="false"/>
                <w:color w:val="000000"/>
                <w:sz w:val="20"/>
              </w:rPr>
              <w:t>ответственному специалисту для дальнейшей организации работы</w:t>
            </w:r>
          </w:p>
        </w:tc>
      </w:tr>
      <w:tr>
        <w:trPr>
          <w:trHeight w:val="21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минуты</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4377"/>
        <w:gridCol w:w="2620"/>
        <w:gridCol w:w="2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специалист уполномоченного органа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принадлежности получателя государственной услуги (семьи) к получателям адресной социальной помощи, подготовка справки</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справку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журнале справку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 организационно-распорядительное решение)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руководству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справки ответственному специалисту уполномоченного органа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справку получателю государственной услуги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5"/>
    <w:p>
      <w:pPr>
        <w:spacing w:after="0"/>
        <w:ind w:left="0"/>
        <w:jc w:val="left"/>
      </w:pPr>
      <w:r>
        <w:rPr>
          <w:rFonts w:ascii="Times New Roman"/>
          <w:b/>
          <w:i w:val="false"/>
          <w:color w:val="000000"/>
        </w:rPr>
        <w:t xml:space="preserve"> 
Таблица 2. Вариант использования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9"/>
        <w:gridCol w:w="5651"/>
      </w:tblGrid>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проверка документов и регистрация в журнале, направление документов для рассмотрения руководителю уполномоченного органа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Ознакомление с документами и наложение резолюции, направление ответственному специалисту для дальнейшей организации работы</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Проверка принадлежности получателя государственной услуги (семьи) к получателям адресной социальной помощи, подготовка справки</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Подписывает справку, направление справки ответственному специалисту уполномоченного органа</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Регистрирует в журнале справку, выдает справку получателю государственной услуги</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6"/>
    <w:p>
      <w:pPr>
        <w:spacing w:after="0"/>
        <w:ind w:left="0"/>
        <w:jc w:val="both"/>
      </w:pPr>
      <w:r>
        <w:rPr>
          <w:rFonts w:ascii="Times New Roman"/>
          <w:b w:val="false"/>
          <w:i w:val="false"/>
          <w:color w:val="000000"/>
          <w:sz w:val="28"/>
        </w:rPr>
        <w:t>
Приложение 4 к Регламенту государственной</w:t>
      </w:r>
      <w:r>
        <w:br/>
      </w:r>
      <w:r>
        <w:rPr>
          <w:rFonts w:ascii="Times New Roman"/>
          <w:b w:val="false"/>
          <w:i w:val="false"/>
          <w:color w:val="000000"/>
          <w:sz w:val="28"/>
        </w:rPr>
        <w:t>
услуги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6"/>
    <w:bookmarkStart w:name="z70" w:id="3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37"/>
    <w:p>
      <w:pPr>
        <w:spacing w:after="0"/>
        <w:ind w:left="0"/>
        <w:jc w:val="both"/>
      </w:pPr>
      <w:r>
        <w:drawing>
          <wp:inline distT="0" distB="0" distL="0" distR="0">
            <wp:extent cx="62103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10300" cy="621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