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d9f0" w14:textId="d20d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средств массовой информации,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августа 2012 года N 231. Зарегистрировано Департаментом юстиции Северо-Казахстанской области 7 сентября 2012 года N 1830. Утратило силу - постановлением акимата Северо-Казахстанской области от 24 декабря 2012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Северо-Казахстанской области от 24.12.2012 N 369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"Учет иностранных средств массовой информации, распространяемых на территории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августа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августа 2012 года N 231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"Учет иностранных</w:t>
      </w:r>
      <w:r>
        <w:br/>
      </w:r>
      <w:r>
        <w:rPr>
          <w:rFonts w:ascii="Times New Roman"/>
          <w:b/>
          <w:i w:val="false"/>
          <w:color w:val="000000"/>
        </w:rPr>
        <w:t>
средств массовой информации, распространяемых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Северо-Казахстанской области"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Управлением внутренней политики Северо-Казахстанской области, а также на альтернативной основе через центры обслуживания населения (далее - Центр) и веб-портал "электронного правительства" по адресу: www.e.gov.kz(далее - портал), при условии наличия у получателя электронно-цифровой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«Учет иностранных периодических печатных изданий, распространяемых на территории области, города республиканского значения, столицы», утвержденной постановлением Правительства Республики Казахстан от 30 декабря 2009 года № 2315 «Об утверждении стандартов государственных услуг в области информации и архивного дела»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 МИО -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центров обслуживания населения – информационная система, предоставляющая единую точку доступа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услугам и электронным информационным ресурсам государственных органов задействованных в процессах оказания государственных услуг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справка – справка об учете иностранных средств массовой информации (далее - е-справка);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МИО -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ИС НУЦ - информационной системы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структурно-функциональные единицы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 (далее – СФЕ);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Пошаговые действия и решения услугодателя через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Регламенту(диаграмма функционального взаимодействия при оказании частично автоматизированной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для физических лиц, прикрепление сканированной копии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(области, города), либо мотивированный отказ об учете иностранного СМИ).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Регламенту(диаграмма функционального взаимодействия при оказании частично автоматизированной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на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на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на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для физических лиц, прикрепление сканированной копии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(области, города), либо мотивированный отказ об учете иностранного СМИ.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Регламенту(диаграмма функционального взаимодействия при оказании частично автоматизированной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формы (ввод данных и для физических лиц, прикрепление сканированного документа, подтверждающего право на занятие предпринимательской деятельностью)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услугодателя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об учете иностранных СМИ, распространяемых на территории (области, города), либо мотивированный отказ об учете иностранного СМИ).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 или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«электронного правительства»: (1414).</w:t>
      </w:r>
    </w:p>
    <w:bookmarkEnd w:id="6"/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услуги.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12.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выдается е–справка;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ЭЦП пользователя.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9"/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(процедур, функций, операций)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действия</w:t>
      </w:r>
    </w:p>
    <w:bookmarkEnd w:id="10"/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МИО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394"/>
        <w:gridCol w:w="1931"/>
        <w:gridCol w:w="2791"/>
        <w:gridCol w:w="1865"/>
        <w:gridCol w:w="25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МИО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 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Маршрутиза-ция  уведомления о статусах из ИС МИО в ИС ЦОН.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Формирование уведомления с указанием текущего статуса.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поступившие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минут.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учете иностранных СМИ.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 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статуса в работе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справки, либо обоснованного отказа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документа.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смене статуса оказания услуги в ИС ЦОН.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в ИС ЦОН. 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46"/>
        <w:gridCol w:w="2075"/>
        <w:gridCol w:w="1989"/>
        <w:gridCol w:w="1732"/>
        <w:gridCol w:w="1560"/>
        <w:gridCol w:w="20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ЦОН в системе и заполнение формы запроса на оказания электронной государственной услуги.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из ИС ЦОН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документов, принятия заявления в работу. 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071"/>
        <w:gridCol w:w="1913"/>
        <w:gridCol w:w="1739"/>
        <w:gridCol w:w="1740"/>
        <w:gridCol w:w="1758"/>
        <w:gridCol w:w="12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учете иностранных СМИ.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063"/>
        <w:gridCol w:w="1906"/>
        <w:gridCol w:w="1752"/>
        <w:gridCol w:w="1752"/>
        <w:gridCol w:w="1752"/>
        <w:gridCol w:w="12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ШЭП/РШЭП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ЦОН.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в ИС ЦОН.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079"/>
        <w:gridCol w:w="1903"/>
        <w:gridCol w:w="1749"/>
        <w:gridCol w:w="1749"/>
        <w:gridCol w:w="1750"/>
        <w:gridCol w:w="11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РШЭП/ШЭП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потребителя на ПЭП, заполнение формы запроса. проверка корректности введенных данных для получения электронной государственной услуги.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МИО и уведомления в ИС ЦОН (в случае корректности введенных данных).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поступившие. (в случае корректности введенных данных).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(в случае корректности введенных данных).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071"/>
        <w:gridCol w:w="1913"/>
        <w:gridCol w:w="1739"/>
        <w:gridCol w:w="1740"/>
        <w:gridCol w:w="1758"/>
        <w:gridCol w:w="12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ШЭП/РШЭП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справке об учете иностранных СМИ.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063"/>
        <w:gridCol w:w="1906"/>
        <w:gridCol w:w="1752"/>
        <w:gridCol w:w="1752"/>
        <w:gridCol w:w="1752"/>
        <w:gridCol w:w="12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ШЭП/РШЭП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ПЭП и ИС ЦОН.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ЦОН.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8519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«частично автоматизированной» электронной государственной услуги через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877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588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«частично автоматизированной» электронной государственной услуги через ИС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74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74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74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Экранная форма заявления на электронную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>Прошу выдать справку об учете иностранных средств массовой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>Наименование распространителя: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 xml:space="preserve">Собственник: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 xml:space="preserve">      (наименование,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собственника СМИ,</w:t>
      </w:r>
      <w:r>
        <w:rPr>
          <w:rFonts w:ascii="Times New Roman"/>
          <w:b w:val="false"/>
          <w:i w:val="false"/>
          <w:color w:val="292929"/>
          <w:sz w:val="28"/>
        </w:rPr>
        <w:t xml:space="preserve">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 xml:space="preserve">Адрес распространителя: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>Телефон распространителя: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92929"/>
          <w:sz w:val="28"/>
        </w:rPr>
        <w:t>Ф.И.О. главного редактора (</w:t>
      </w:r>
      <w:r>
        <w:rPr>
          <w:rFonts w:ascii="Times New Roman"/>
          <w:b w:val="false"/>
          <w:i w:val="false"/>
          <w:color w:val="000000"/>
          <w:sz w:val="28"/>
        </w:rPr>
        <w:t>представителя</w:t>
      </w:r>
      <w:r>
        <w:rPr>
          <w:rFonts w:ascii="Times New Roman"/>
          <w:b w:val="false"/>
          <w:i w:val="false"/>
          <w:color w:val="292929"/>
          <w:sz w:val="28"/>
        </w:rPr>
        <w:t xml:space="preserve">):_____________________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452"/>
        <w:gridCol w:w="1327"/>
        <w:gridCol w:w="1217"/>
        <w:gridCol w:w="849"/>
        <w:gridCol w:w="1088"/>
        <w:gridCol w:w="1629"/>
        <w:gridCol w:w="1629"/>
        <w:gridCol w:w="876"/>
      </w:tblGrid>
      <w:tr>
        <w:trPr>
          <w:trHeight w:val="66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 распространяемого СМИ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 и минутах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распространителя_______________________________________________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выходного документа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внутренней политики СКО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учете иностранных СМИ,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распространяемых на территории (области,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Справка выдана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распространителя и его организационно-правовая 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Правительства Республики Казахстан от 29 июля 2002 года № 843 «Об утверждении Правил учета иностранных средств массовой информации, распространяемых в Республике Казахстан», о согласии на распространение иностранных средств массовой информации: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448"/>
        <w:gridCol w:w="1323"/>
        <w:gridCol w:w="1214"/>
        <w:gridCol w:w="846"/>
        <w:gridCol w:w="1098"/>
        <w:gridCol w:w="1624"/>
        <w:gridCol w:w="1146"/>
        <w:gridCol w:w="1368"/>
      </w:tblGrid>
      <w:tr>
        <w:trPr>
          <w:trHeight w:val="66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Основ-ная тематическая направленность распространяемого СМИ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 и минутах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– до « 31 » декабря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внутренней политики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об учете иностранного 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органа, выдавшего справку распространителю)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представлены все необходимые документы, предусмотренные в пункте 6, ПП № 843; 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Указана не полная или недостоверная информация в документах; 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 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распространителя имеется решение суда, запрещающее ему занятие данным видом деятельности; 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продукции иностранного СМИ имеется решение суда о наложении запрета на ее распространение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 этим постановка на учет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476"/>
        <w:gridCol w:w="1352"/>
        <w:gridCol w:w="1239"/>
        <w:gridCol w:w="864"/>
        <w:gridCol w:w="1120"/>
        <w:gridCol w:w="1659"/>
        <w:gridCol w:w="1170"/>
        <w:gridCol w:w="1187"/>
      </w:tblGrid>
      <w:tr>
        <w:trPr>
          <w:trHeight w:val="66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Основ-ная тематическая направленность распространяемого СМИ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 и минутах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представляется 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политики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0391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выходного документа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678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учете иностранных СМИ,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распространяемых на территории (области,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Справка выдана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распространителя и его организационно-правовая 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Правительства Республики Казахстан от 29 июля 2002 года № 843 «Об утверждении Правил учета иностранных средств массовой информации, распространяемых в Республике Казахстан», о согласии на распространение иностранных средств массовой информации: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448"/>
        <w:gridCol w:w="1323"/>
        <w:gridCol w:w="1214"/>
        <w:gridCol w:w="846"/>
        <w:gridCol w:w="1098"/>
        <w:gridCol w:w="1624"/>
        <w:gridCol w:w="1351"/>
        <w:gridCol w:w="1163"/>
      </w:tblGrid>
      <w:tr>
        <w:trPr>
          <w:trHeight w:val="66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Основ-ная тематическая направленность распространяемого СМИ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 и минутах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об учете иностранного СМИ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504"/>
        <w:gridCol w:w="1381"/>
        <w:gridCol w:w="1264"/>
        <w:gridCol w:w="881"/>
        <w:gridCol w:w="1141"/>
        <w:gridCol w:w="1693"/>
        <w:gridCol w:w="1693"/>
        <w:gridCol w:w="907"/>
      </w:tblGrid>
      <w:tr>
        <w:trPr>
          <w:trHeight w:val="66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СМИ, распространяемых на территории (области, города, района)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иностранного СМИ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языки распространяемого иностранного СМИ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Основ-ная тематическая направленность распространяемого СМИ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экземпляров периодического печатного издания, в экземплярах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телевизионного и радиовещания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Ретрансляции передач иностранных СМИ,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 и минутах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в часах и минутах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тем,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 представлены все необходимые документы, предусмотренные в пункте 6, ПП № 843;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Указана не полная или недостоверная информация в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распространителя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продукции иностранного СМИ имеется решение суда о наложении запрета на ее распространение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не представляется 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до « 31 » декабря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политики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503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средств массовой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услуги: "качество" и "доступность"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