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bc35" w14:textId="2f1b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февраля 2012 года № 16. Зарегистрировано Управлением юстиции Мендыкаринского района Костанайской области 11 марта 2012 года № 9-15-169. Утратило силу решением маслихата Мендыкаринского района Костанайской области от 19 марта 2014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387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схемы зонирования земель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1.Осуществить корректировку базовых налоговых ставок земельного налога, за исключением земель, выделенных (отведенных) под автостоянки (паркинги), автозаправочные станции и занятых под казино: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земли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(за исключением придомовых земельных участков)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Ерканов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Кушанов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16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493"/>
        <w:gridCol w:w="68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или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 021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 036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 030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16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</w:t>
      </w:r>
      <w:r>
        <w:br/>
      </w:r>
      <w:r>
        <w:rPr>
          <w:rFonts w:ascii="Times New Roman"/>
          <w:b/>
          <w:i w:val="false"/>
          <w:color w:val="000000"/>
        </w:rPr>
        <w:t>
на земли населенных пунктов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придомовых земельных участков)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700"/>
        <w:gridCol w:w="7988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сельским округам)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 015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015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009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Лютинка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009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с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 035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035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